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CC697">
      <w:pPr>
        <w:keepNext w:val="0"/>
        <w:keepLines w:val="0"/>
        <w:pageBreakBefore w:val="0"/>
        <w:kinsoku/>
        <w:wordWrap/>
        <w:overflowPunct/>
        <w:topLinePunct w:val="0"/>
        <w:autoSpaceDE/>
        <w:autoSpaceDN/>
        <w:bidi w:val="0"/>
        <w:adjustRightInd/>
        <w:snapToGrid/>
        <w:spacing w:line="540" w:lineRule="exact"/>
        <w:ind w:left="-708" w:leftChars="-354" w:right="-566" w:rightChars="-283"/>
        <w:jc w:val="center"/>
        <w:textAlignment w:val="auto"/>
        <w:rPr>
          <w:rFonts w:hint="default" w:ascii="Times New Roman" w:hAnsi="Times New Roman" w:eastAsia="方正小标宋简体" w:cs="Times New Roman"/>
          <w:sz w:val="44"/>
          <w:szCs w:val="44"/>
          <w:lang w:eastAsia="zh-CN"/>
        </w:rPr>
      </w:pPr>
    </w:p>
    <w:p w14:paraId="47A721FD">
      <w:pPr>
        <w:keepNext w:val="0"/>
        <w:keepLines w:val="0"/>
        <w:pageBreakBefore w:val="0"/>
        <w:kinsoku/>
        <w:wordWrap/>
        <w:overflowPunct/>
        <w:topLinePunct w:val="0"/>
        <w:autoSpaceDE/>
        <w:autoSpaceDN/>
        <w:bidi w:val="0"/>
        <w:adjustRightInd/>
        <w:snapToGrid/>
        <w:spacing w:line="540" w:lineRule="exact"/>
        <w:ind w:left="-708" w:leftChars="-354" w:right="-566" w:rightChars="-283"/>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广州市环境技术中心2026年度档案整理</w:t>
      </w:r>
    </w:p>
    <w:p w14:paraId="5AFD71BB">
      <w:pPr>
        <w:keepNext w:val="0"/>
        <w:keepLines w:val="0"/>
        <w:pageBreakBefore w:val="0"/>
        <w:kinsoku/>
        <w:wordWrap/>
        <w:overflowPunct/>
        <w:topLinePunct w:val="0"/>
        <w:autoSpaceDE/>
        <w:autoSpaceDN/>
        <w:bidi w:val="0"/>
        <w:adjustRightInd/>
        <w:snapToGrid/>
        <w:spacing w:line="540" w:lineRule="exact"/>
        <w:ind w:left="-708" w:leftChars="-354" w:right="-566" w:rightChars="-283"/>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（含数字化）及相关工作服务</w:t>
      </w:r>
    </w:p>
    <w:p w14:paraId="6CA70C8A">
      <w:pPr>
        <w:keepNext w:val="0"/>
        <w:keepLines w:val="0"/>
        <w:pageBreakBefore w:val="0"/>
        <w:kinsoku/>
        <w:wordWrap/>
        <w:overflowPunct/>
        <w:topLinePunct w:val="0"/>
        <w:autoSpaceDE/>
        <w:autoSpaceDN/>
        <w:bidi w:val="0"/>
        <w:adjustRightInd/>
        <w:snapToGrid/>
        <w:spacing w:line="540" w:lineRule="exact"/>
        <w:ind w:left="-566" w:leftChars="-283" w:right="-424" w:rightChars="-212"/>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项目采购需求说明书</w:t>
      </w:r>
    </w:p>
    <w:p w14:paraId="3C2DFF6D">
      <w:pPr>
        <w:keepNext w:val="0"/>
        <w:keepLines w:val="0"/>
        <w:pageBreakBefore w:val="0"/>
        <w:kinsoku/>
        <w:wordWrap/>
        <w:overflowPunct/>
        <w:topLinePunct w:val="0"/>
        <w:autoSpaceDE/>
        <w:autoSpaceDN/>
        <w:bidi w:val="0"/>
        <w:adjustRightInd/>
        <w:snapToGrid/>
        <w:spacing w:line="540" w:lineRule="exact"/>
        <w:ind w:left="-566" w:leftChars="-283" w:right="-424" w:rightChars="-212" w:firstLine="400"/>
        <w:jc w:val="center"/>
        <w:textAlignment w:val="auto"/>
        <w:rPr>
          <w:rFonts w:hint="default" w:ascii="Times New Roman" w:hAnsi="Times New Roman" w:cs="Times New Roman"/>
          <w:lang w:eastAsia="zh-CN"/>
        </w:rPr>
      </w:pPr>
    </w:p>
    <w:p w14:paraId="6C1F2005">
      <w:pPr>
        <w:pStyle w:val="16"/>
        <w:keepNext w:val="0"/>
        <w:keepLines w:val="0"/>
        <w:pageBreakBefore w:val="0"/>
        <w:kinsoku/>
        <w:wordWrap/>
        <w:overflowPunct/>
        <w:topLinePunct w:val="0"/>
        <w:autoSpaceDE/>
        <w:autoSpaceDN/>
        <w:bidi w:val="0"/>
        <w:adjustRightInd/>
        <w:snapToGrid/>
        <w:spacing w:before="156" w:beforeLines="50" w:after="156" w:afterLines="50" w:line="540" w:lineRule="exact"/>
        <w:ind w:left="0" w:right="85"/>
        <w:textAlignment w:val="auto"/>
        <w:rPr>
          <w:rFonts w:hint="default" w:ascii="Times New Roman" w:hAnsi="Times New Roman" w:cs="Times New Roman"/>
          <w:sz w:val="32"/>
          <w:szCs w:val="32"/>
          <w:lang w:eastAsia="zh-CN"/>
        </w:rPr>
      </w:pPr>
      <w:r>
        <w:rPr>
          <w:rFonts w:hint="default" w:ascii="Times New Roman" w:hAnsi="Times New Roman" w:eastAsia="黑体" w:cs="Times New Roman"/>
          <w:bCs/>
          <w:sz w:val="32"/>
          <w:szCs w:val="32"/>
          <w:lang w:eastAsia="zh-CN"/>
        </w:rPr>
        <w:t>采购需求内容</w:t>
      </w:r>
      <w:r>
        <w:rPr>
          <w:rFonts w:hint="eastAsia" w:eastAsia="黑体" w:cs="Times New Roman"/>
          <w:bCs/>
          <w:sz w:val="32"/>
          <w:szCs w:val="32"/>
          <w:lang w:eastAsia="zh-CN"/>
        </w:rPr>
        <w:t>：</w:t>
      </w:r>
    </w:p>
    <w:p w14:paraId="33677AF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（一）项目背景。</w:t>
      </w:r>
    </w:p>
    <w:p w14:paraId="6A542E9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为继续推进中心档案科学、规范管理，不断充实丰富档案资源，为各项工作提供有效便捷服务，我中心拟委托具有档案专业整理资质服务供应商协助开展2026年度档案整理（含数字化）等工作。</w:t>
      </w:r>
    </w:p>
    <w:p w14:paraId="56A3B61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（二）项目工作范围。</w:t>
      </w:r>
    </w:p>
    <w:p w14:paraId="58115D4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1.根据采购人要求，完成文书、科技（科研、基建、设备）、会计、专业（业务）、实物、照片、录音、录像、业务数据等各门类档案的筛选、整理、打印及数字化服务工作；</w:t>
      </w:r>
    </w:p>
    <w:p w14:paraId="67B8937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2.根据上级档案业务管理部门的要求，结合采购人实际情况，提供档案整理（含数字化）相关服务等工作；</w:t>
      </w:r>
    </w:p>
    <w:p w14:paraId="3DEE77F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kern w:val="2"/>
          <w:sz w:val="32"/>
          <w:szCs w:val="32"/>
          <w:lang w:eastAsia="zh-CN"/>
        </w:rPr>
      </w:pPr>
      <w:r>
        <w:rPr>
          <w:rFonts w:hint="eastAsia" w:eastAsia="楷体_GB2312" w:cs="Times New Roman"/>
          <w:kern w:val="2"/>
          <w:sz w:val="32"/>
          <w:szCs w:val="32"/>
          <w:lang w:eastAsia="zh-CN"/>
        </w:rPr>
        <w:t>（三）</w:t>
      </w:r>
      <w:r>
        <w:rPr>
          <w:rFonts w:hint="default" w:ascii="Times New Roman" w:hAnsi="Times New Roman" w:eastAsia="楷体_GB2312" w:cs="Times New Roman"/>
          <w:kern w:val="2"/>
          <w:sz w:val="32"/>
          <w:szCs w:val="32"/>
          <w:lang w:eastAsia="zh-CN"/>
        </w:rPr>
        <w:t>其他要求。</w:t>
      </w:r>
    </w:p>
    <w:p w14:paraId="72B2D1A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（1）工具装具耗材。</w:t>
      </w:r>
    </w:p>
    <w:p w14:paraId="5C4840A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①打印、装订、扫描、刻录、存储等现场所需的耗材和工具均由服务供应商提供。</w:t>
      </w:r>
    </w:p>
    <w:p w14:paraId="3A4C29F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②所有设备的维护维修工作均由服务供应商承担。</w:t>
      </w:r>
    </w:p>
    <w:p w14:paraId="3B4D0C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③档案盒、目录册、彩页纸、标签、打印纸、封条、文具用品、光盘、优盘等均由服务供应商负责。</w:t>
      </w:r>
    </w:p>
    <w:p w14:paraId="0205B2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（2）售后服务。</w:t>
      </w:r>
    </w:p>
    <w:p w14:paraId="6F9A6A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服务供应商在项目验收后需提供壹年的维保质保服务。</w:t>
      </w:r>
    </w:p>
    <w:p w14:paraId="385CBAF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（四）项目报价。</w:t>
      </w:r>
    </w:p>
    <w:p w14:paraId="3C82492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项目最高限价为人民币</w:t>
      </w:r>
      <w:r>
        <w:rPr>
          <w:rFonts w:hint="default" w:ascii="Times New Roman" w:hAnsi="Times New Roman" w:eastAsia="仿宋_GB2312" w:cs="Times New Roman"/>
          <w:sz w:val="32"/>
          <w:szCs w:val="32"/>
          <w:u w:val="single"/>
          <w:lang w:eastAsia="zh-CN"/>
        </w:rPr>
        <w:t>177000元（壹拾柒万柒仟元整）</w:t>
      </w:r>
      <w:r>
        <w:rPr>
          <w:rFonts w:hint="default" w:ascii="Times New Roman" w:hAnsi="Times New Roman" w:eastAsia="仿宋_GB2312" w:cs="Times New Roman"/>
          <w:sz w:val="32"/>
          <w:szCs w:val="32"/>
          <w:lang w:eastAsia="zh-CN"/>
        </w:rPr>
        <w:t>，签订合同之日起，至所需扫描数字化档案累计经据实结算，所支付服务金额达到合同金额177000元之日止。</w:t>
      </w:r>
    </w:p>
    <w:p w14:paraId="10009FF6">
      <w:pPr>
        <w:spacing w:line="520" w:lineRule="exact"/>
        <w:ind w:firstLine="640" w:firstLineChars="200"/>
        <w:rPr>
          <w:rFonts w:hint="default" w:ascii="Times New Roman" w:hAnsi="Times New Roman" w:eastAsia="仿宋_GB2312" w:cs="Times New Roman"/>
          <w:sz w:val="32"/>
          <w:szCs w:val="32"/>
          <w:lang w:eastAsia="zh-CN"/>
        </w:rPr>
      </w:pPr>
    </w:p>
    <w:tbl>
      <w:tblPr>
        <w:tblStyle w:val="7"/>
        <w:tblW w:w="10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4111"/>
        <w:gridCol w:w="1381"/>
        <w:gridCol w:w="1276"/>
        <w:gridCol w:w="1837"/>
        <w:gridCol w:w="1318"/>
      </w:tblGrid>
      <w:tr w14:paraId="78AC3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911" w:type="dxa"/>
            <w:noWrap w:val="0"/>
            <w:vAlign w:val="center"/>
          </w:tcPr>
          <w:p w14:paraId="041840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kern w:val="2"/>
                <w:sz w:val="24"/>
                <w:szCs w:val="24"/>
                <w:lang w:eastAsia="zh-CN"/>
              </w:rPr>
            </w:pPr>
            <w:r>
              <w:rPr>
                <w:rFonts w:hint="default" w:ascii="Times New Roman" w:hAnsi="Times New Roman" w:eastAsia="仿宋_GB2312" w:cs="Times New Roman"/>
                <w:b/>
                <w:kern w:val="2"/>
                <w:sz w:val="24"/>
                <w:szCs w:val="24"/>
                <w:lang w:eastAsia="zh-CN"/>
              </w:rPr>
              <w:t>项目内容</w:t>
            </w:r>
          </w:p>
        </w:tc>
        <w:tc>
          <w:tcPr>
            <w:tcW w:w="4111" w:type="dxa"/>
            <w:noWrap w:val="0"/>
            <w:vAlign w:val="center"/>
          </w:tcPr>
          <w:p w14:paraId="6F05B4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kern w:val="2"/>
                <w:sz w:val="24"/>
                <w:szCs w:val="24"/>
                <w:lang w:eastAsia="zh-CN"/>
              </w:rPr>
            </w:pPr>
            <w:r>
              <w:rPr>
                <w:rFonts w:hint="default" w:ascii="Times New Roman" w:hAnsi="Times New Roman" w:eastAsia="仿宋_GB2312" w:cs="Times New Roman"/>
                <w:b/>
                <w:kern w:val="2"/>
                <w:sz w:val="24"/>
                <w:szCs w:val="24"/>
                <w:lang w:eastAsia="zh-CN"/>
              </w:rPr>
              <w:t>服务范围</w:t>
            </w:r>
          </w:p>
        </w:tc>
        <w:tc>
          <w:tcPr>
            <w:tcW w:w="1381" w:type="dxa"/>
            <w:noWrap w:val="0"/>
            <w:vAlign w:val="center"/>
          </w:tcPr>
          <w:p w14:paraId="324977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kern w:val="2"/>
                <w:sz w:val="24"/>
                <w:szCs w:val="24"/>
                <w:lang w:eastAsia="zh-CN"/>
              </w:rPr>
            </w:pPr>
            <w:r>
              <w:rPr>
                <w:rFonts w:hint="default" w:ascii="Times New Roman" w:hAnsi="Times New Roman" w:eastAsia="仿宋_GB2312" w:cs="Times New Roman"/>
                <w:b/>
                <w:kern w:val="2"/>
                <w:sz w:val="24"/>
                <w:szCs w:val="24"/>
                <w:lang w:eastAsia="zh-CN"/>
              </w:rPr>
              <w:t>合同履行期限</w:t>
            </w:r>
          </w:p>
        </w:tc>
        <w:tc>
          <w:tcPr>
            <w:tcW w:w="1276" w:type="dxa"/>
            <w:noWrap w:val="0"/>
            <w:vAlign w:val="center"/>
          </w:tcPr>
          <w:p w14:paraId="2092D7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kern w:val="2"/>
                <w:sz w:val="24"/>
                <w:szCs w:val="24"/>
                <w:lang w:eastAsia="zh-CN"/>
              </w:rPr>
            </w:pPr>
            <w:r>
              <w:rPr>
                <w:rFonts w:hint="default" w:ascii="Times New Roman" w:hAnsi="Times New Roman" w:eastAsia="仿宋_GB2312" w:cs="Times New Roman"/>
                <w:b/>
                <w:kern w:val="2"/>
                <w:sz w:val="24"/>
                <w:szCs w:val="24"/>
                <w:lang w:eastAsia="zh-CN"/>
              </w:rPr>
              <w:t>采购预算(最高限价)</w:t>
            </w:r>
          </w:p>
        </w:tc>
        <w:tc>
          <w:tcPr>
            <w:tcW w:w="1837" w:type="dxa"/>
            <w:noWrap w:val="0"/>
            <w:vAlign w:val="center"/>
          </w:tcPr>
          <w:p w14:paraId="582A0F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kern w:val="2"/>
                <w:sz w:val="24"/>
                <w:szCs w:val="24"/>
                <w:lang w:eastAsia="zh-CN"/>
              </w:rPr>
            </w:pPr>
            <w:r>
              <w:rPr>
                <w:rFonts w:hint="default" w:ascii="Times New Roman" w:hAnsi="Times New Roman" w:eastAsia="仿宋_GB2312" w:cs="Times New Roman"/>
                <w:b/>
                <w:kern w:val="2"/>
                <w:sz w:val="24"/>
                <w:szCs w:val="24"/>
                <w:lang w:eastAsia="zh-CN"/>
              </w:rPr>
              <w:t>综合单价(最高限价)</w:t>
            </w:r>
          </w:p>
        </w:tc>
        <w:tc>
          <w:tcPr>
            <w:tcW w:w="1318" w:type="dxa"/>
            <w:noWrap w:val="0"/>
            <w:vAlign w:val="center"/>
          </w:tcPr>
          <w:p w14:paraId="012E27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kern w:val="2"/>
                <w:sz w:val="24"/>
                <w:szCs w:val="24"/>
                <w:lang w:eastAsia="zh-CN"/>
              </w:rPr>
            </w:pPr>
            <w:r>
              <w:rPr>
                <w:rFonts w:hint="default" w:ascii="Times New Roman" w:hAnsi="Times New Roman" w:eastAsia="仿宋_GB2312" w:cs="Times New Roman"/>
                <w:b/>
                <w:kern w:val="2"/>
                <w:sz w:val="24"/>
                <w:szCs w:val="24"/>
                <w:lang w:eastAsia="zh-CN"/>
              </w:rPr>
              <w:t>类别</w:t>
            </w:r>
          </w:p>
        </w:tc>
      </w:tr>
      <w:tr w14:paraId="342D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911" w:type="dxa"/>
            <w:vMerge w:val="restart"/>
            <w:noWrap w:val="0"/>
            <w:vAlign w:val="center"/>
          </w:tcPr>
          <w:p w14:paraId="6C2464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档案整理服务</w:t>
            </w:r>
          </w:p>
        </w:tc>
        <w:tc>
          <w:tcPr>
            <w:tcW w:w="4111" w:type="dxa"/>
            <w:vMerge w:val="restart"/>
            <w:noWrap w:val="0"/>
            <w:vAlign w:val="center"/>
          </w:tcPr>
          <w:p w14:paraId="0795B4B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color w:val="000000"/>
                <w:sz w:val="24"/>
                <w:szCs w:val="24"/>
                <w:lang w:eastAsia="zh-CN"/>
              </w:rPr>
            </w:pPr>
            <w:r>
              <w:rPr>
                <w:rFonts w:hint="default" w:ascii="Times New Roman" w:hAnsi="Times New Roman" w:eastAsia="仿宋_GB2312" w:cs="Times New Roman"/>
                <w:color w:val="000000"/>
                <w:sz w:val="24"/>
                <w:szCs w:val="24"/>
                <w:lang w:eastAsia="zh-CN"/>
              </w:rPr>
              <w:t>对已接收的各门类档案（包含不限于文书、汇编、声像、实物、会计、业务档案等）的呈批表单打印、整理及甄别、筛选、分类、校核、分类、查缺、组卷/组件、打页码、排序、编码、编目、盖章、装订、著录、目录打印、装盒、上架等工作。</w:t>
            </w:r>
          </w:p>
        </w:tc>
        <w:tc>
          <w:tcPr>
            <w:tcW w:w="1381" w:type="dxa"/>
            <w:vMerge w:val="restart"/>
            <w:noWrap w:val="0"/>
            <w:vAlign w:val="center"/>
          </w:tcPr>
          <w:p w14:paraId="6E6EBA30">
            <w:pPr>
              <w:keepNext w:val="0"/>
              <w:keepLines w:val="0"/>
              <w:pageBreakBefore w:val="0"/>
              <w:widowControl w:val="0"/>
              <w:tabs>
                <w:tab w:val="left" w:pos="922"/>
              </w:tabs>
              <w:kinsoku/>
              <w:wordWrap/>
              <w:overflowPunct/>
              <w:topLinePunct w:val="0"/>
              <w:autoSpaceDE/>
              <w:autoSpaceDN/>
              <w:bidi w:val="0"/>
              <w:adjustRightInd/>
              <w:snapToGrid/>
              <w:spacing w:line="440" w:lineRule="exact"/>
              <w:ind w:left="150"/>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 xml:space="preserve"> 签订合同之日起四个月内，或所支付服务金额达到合同金额177000元之日止。</w:t>
            </w:r>
          </w:p>
          <w:p w14:paraId="2CB6BF16">
            <w:pPr>
              <w:keepNext w:val="0"/>
              <w:keepLines w:val="0"/>
              <w:pageBreakBefore w:val="0"/>
              <w:widowControl w:val="0"/>
              <w:tabs>
                <w:tab w:val="left" w:pos="922"/>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p>
        </w:tc>
        <w:tc>
          <w:tcPr>
            <w:tcW w:w="1276" w:type="dxa"/>
            <w:vMerge w:val="restart"/>
            <w:noWrap w:val="0"/>
            <w:vAlign w:val="center"/>
          </w:tcPr>
          <w:p w14:paraId="0C2EFE9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lang w:eastAsia="zh-CN"/>
              </w:rPr>
              <w:t>177000元</w:t>
            </w:r>
          </w:p>
        </w:tc>
        <w:tc>
          <w:tcPr>
            <w:tcW w:w="1837" w:type="dxa"/>
            <w:noWrap w:val="0"/>
            <w:vAlign w:val="center"/>
          </w:tcPr>
          <w:p w14:paraId="52D187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10元/件</w:t>
            </w:r>
          </w:p>
        </w:tc>
        <w:tc>
          <w:tcPr>
            <w:tcW w:w="1318" w:type="dxa"/>
            <w:noWrap w:val="0"/>
            <w:vAlign w:val="center"/>
          </w:tcPr>
          <w:p w14:paraId="6AF9A59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文书类档案整理</w:t>
            </w:r>
          </w:p>
        </w:tc>
      </w:tr>
      <w:tr w14:paraId="3D53A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911" w:type="dxa"/>
            <w:vMerge w:val="continue"/>
            <w:noWrap w:val="0"/>
            <w:vAlign w:val="center"/>
          </w:tcPr>
          <w:p w14:paraId="4EBB3E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p>
        </w:tc>
        <w:tc>
          <w:tcPr>
            <w:tcW w:w="4111" w:type="dxa"/>
            <w:vMerge w:val="continue"/>
            <w:noWrap w:val="0"/>
            <w:vAlign w:val="center"/>
          </w:tcPr>
          <w:p w14:paraId="32021D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4"/>
                <w:szCs w:val="24"/>
                <w:lang w:eastAsia="zh-CN"/>
              </w:rPr>
            </w:pPr>
          </w:p>
        </w:tc>
        <w:tc>
          <w:tcPr>
            <w:tcW w:w="1381" w:type="dxa"/>
            <w:vMerge w:val="continue"/>
            <w:noWrap w:val="0"/>
            <w:vAlign w:val="center"/>
          </w:tcPr>
          <w:p w14:paraId="23A2EB98">
            <w:pPr>
              <w:keepNext w:val="0"/>
              <w:keepLines w:val="0"/>
              <w:pageBreakBefore w:val="0"/>
              <w:widowControl w:val="0"/>
              <w:tabs>
                <w:tab w:val="left" w:pos="922"/>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p>
        </w:tc>
        <w:tc>
          <w:tcPr>
            <w:tcW w:w="1276" w:type="dxa"/>
            <w:vMerge w:val="continue"/>
            <w:noWrap w:val="0"/>
            <w:vAlign w:val="center"/>
          </w:tcPr>
          <w:p w14:paraId="388692F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4"/>
                <w:szCs w:val="24"/>
                <w:lang w:eastAsia="zh-CN"/>
              </w:rPr>
            </w:pPr>
          </w:p>
        </w:tc>
        <w:tc>
          <w:tcPr>
            <w:tcW w:w="1837" w:type="dxa"/>
            <w:noWrap w:val="0"/>
            <w:vAlign w:val="center"/>
          </w:tcPr>
          <w:p w14:paraId="6FBA81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70元/卷</w:t>
            </w:r>
          </w:p>
        </w:tc>
        <w:tc>
          <w:tcPr>
            <w:tcW w:w="1318" w:type="dxa"/>
            <w:noWrap w:val="0"/>
            <w:vAlign w:val="center"/>
          </w:tcPr>
          <w:p w14:paraId="3B80BB0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科技档案整理</w:t>
            </w:r>
          </w:p>
        </w:tc>
      </w:tr>
      <w:tr w14:paraId="1FE0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11" w:type="dxa"/>
            <w:vMerge w:val="continue"/>
            <w:noWrap w:val="0"/>
            <w:vAlign w:val="center"/>
          </w:tcPr>
          <w:p w14:paraId="29E269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p>
        </w:tc>
        <w:tc>
          <w:tcPr>
            <w:tcW w:w="4111" w:type="dxa"/>
            <w:vMerge w:val="continue"/>
            <w:noWrap w:val="0"/>
            <w:vAlign w:val="center"/>
          </w:tcPr>
          <w:p w14:paraId="76735F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4"/>
                <w:szCs w:val="24"/>
                <w:lang w:eastAsia="zh-CN"/>
              </w:rPr>
            </w:pPr>
          </w:p>
        </w:tc>
        <w:tc>
          <w:tcPr>
            <w:tcW w:w="1381" w:type="dxa"/>
            <w:vMerge w:val="continue"/>
            <w:noWrap w:val="0"/>
            <w:vAlign w:val="center"/>
          </w:tcPr>
          <w:p w14:paraId="34ADD49F">
            <w:pPr>
              <w:keepNext w:val="0"/>
              <w:keepLines w:val="0"/>
              <w:pageBreakBefore w:val="0"/>
              <w:widowControl w:val="0"/>
              <w:tabs>
                <w:tab w:val="left" w:pos="922"/>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p>
        </w:tc>
        <w:tc>
          <w:tcPr>
            <w:tcW w:w="1276" w:type="dxa"/>
            <w:vMerge w:val="continue"/>
            <w:noWrap w:val="0"/>
            <w:vAlign w:val="center"/>
          </w:tcPr>
          <w:p w14:paraId="2B27108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4"/>
                <w:szCs w:val="24"/>
                <w:lang w:eastAsia="zh-CN"/>
              </w:rPr>
            </w:pPr>
          </w:p>
        </w:tc>
        <w:tc>
          <w:tcPr>
            <w:tcW w:w="1837" w:type="dxa"/>
            <w:noWrap w:val="0"/>
            <w:vAlign w:val="center"/>
          </w:tcPr>
          <w:p w14:paraId="184E10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40元/卷</w:t>
            </w:r>
          </w:p>
        </w:tc>
        <w:tc>
          <w:tcPr>
            <w:tcW w:w="1318" w:type="dxa"/>
            <w:noWrap w:val="0"/>
            <w:vAlign w:val="center"/>
          </w:tcPr>
          <w:p w14:paraId="699F285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会计档案整理</w:t>
            </w:r>
          </w:p>
        </w:tc>
      </w:tr>
      <w:tr w14:paraId="01575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jc w:val="center"/>
        </w:trPr>
        <w:tc>
          <w:tcPr>
            <w:tcW w:w="911" w:type="dxa"/>
            <w:vMerge w:val="continue"/>
            <w:noWrap w:val="0"/>
            <w:vAlign w:val="center"/>
          </w:tcPr>
          <w:p w14:paraId="0976F5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p>
        </w:tc>
        <w:tc>
          <w:tcPr>
            <w:tcW w:w="4111" w:type="dxa"/>
            <w:vMerge w:val="continue"/>
            <w:noWrap w:val="0"/>
            <w:vAlign w:val="center"/>
          </w:tcPr>
          <w:p w14:paraId="674F1D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4"/>
                <w:szCs w:val="24"/>
                <w:lang w:eastAsia="zh-CN"/>
              </w:rPr>
            </w:pPr>
          </w:p>
        </w:tc>
        <w:tc>
          <w:tcPr>
            <w:tcW w:w="1381" w:type="dxa"/>
            <w:vMerge w:val="continue"/>
            <w:noWrap w:val="0"/>
            <w:vAlign w:val="center"/>
          </w:tcPr>
          <w:p w14:paraId="276E6ECA">
            <w:pPr>
              <w:keepNext w:val="0"/>
              <w:keepLines w:val="0"/>
              <w:pageBreakBefore w:val="0"/>
              <w:widowControl w:val="0"/>
              <w:tabs>
                <w:tab w:val="left" w:pos="922"/>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p>
        </w:tc>
        <w:tc>
          <w:tcPr>
            <w:tcW w:w="1276" w:type="dxa"/>
            <w:vMerge w:val="continue"/>
            <w:noWrap w:val="0"/>
            <w:vAlign w:val="center"/>
          </w:tcPr>
          <w:p w14:paraId="4D1D8F7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4"/>
                <w:szCs w:val="24"/>
                <w:lang w:eastAsia="zh-CN"/>
              </w:rPr>
            </w:pPr>
          </w:p>
        </w:tc>
        <w:tc>
          <w:tcPr>
            <w:tcW w:w="1837" w:type="dxa"/>
            <w:noWrap w:val="0"/>
            <w:vAlign w:val="center"/>
          </w:tcPr>
          <w:p w14:paraId="60F8FA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80元/卷</w:t>
            </w:r>
          </w:p>
        </w:tc>
        <w:tc>
          <w:tcPr>
            <w:tcW w:w="1318" w:type="dxa"/>
            <w:noWrap w:val="0"/>
            <w:vAlign w:val="center"/>
          </w:tcPr>
          <w:p w14:paraId="5864C0D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专业(业务)档案整理</w:t>
            </w:r>
          </w:p>
        </w:tc>
      </w:tr>
      <w:tr w14:paraId="10F84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jc w:val="center"/>
        </w:trPr>
        <w:tc>
          <w:tcPr>
            <w:tcW w:w="911" w:type="dxa"/>
            <w:vMerge w:val="continue"/>
            <w:noWrap w:val="0"/>
            <w:vAlign w:val="center"/>
          </w:tcPr>
          <w:p w14:paraId="701DFD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p>
        </w:tc>
        <w:tc>
          <w:tcPr>
            <w:tcW w:w="4111" w:type="dxa"/>
            <w:vMerge w:val="continue"/>
            <w:noWrap w:val="0"/>
            <w:vAlign w:val="center"/>
          </w:tcPr>
          <w:p w14:paraId="1535BD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4"/>
                <w:szCs w:val="24"/>
                <w:lang w:eastAsia="zh-CN"/>
              </w:rPr>
            </w:pPr>
          </w:p>
        </w:tc>
        <w:tc>
          <w:tcPr>
            <w:tcW w:w="1381" w:type="dxa"/>
            <w:vMerge w:val="continue"/>
            <w:noWrap w:val="0"/>
            <w:vAlign w:val="center"/>
          </w:tcPr>
          <w:p w14:paraId="76F62A06">
            <w:pPr>
              <w:keepNext w:val="0"/>
              <w:keepLines w:val="0"/>
              <w:pageBreakBefore w:val="0"/>
              <w:widowControl w:val="0"/>
              <w:tabs>
                <w:tab w:val="left" w:pos="922"/>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p>
        </w:tc>
        <w:tc>
          <w:tcPr>
            <w:tcW w:w="1276" w:type="dxa"/>
            <w:vMerge w:val="continue"/>
            <w:noWrap w:val="0"/>
            <w:vAlign w:val="center"/>
          </w:tcPr>
          <w:p w14:paraId="2B92C4D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4"/>
                <w:szCs w:val="24"/>
                <w:lang w:eastAsia="zh-CN"/>
              </w:rPr>
            </w:pPr>
          </w:p>
        </w:tc>
        <w:tc>
          <w:tcPr>
            <w:tcW w:w="1837" w:type="dxa"/>
            <w:noWrap w:val="0"/>
            <w:vAlign w:val="center"/>
          </w:tcPr>
          <w:p w14:paraId="76ABDB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15元/件</w:t>
            </w:r>
          </w:p>
        </w:tc>
        <w:tc>
          <w:tcPr>
            <w:tcW w:w="1318" w:type="dxa"/>
            <w:noWrap w:val="0"/>
            <w:vAlign w:val="center"/>
          </w:tcPr>
          <w:p w14:paraId="190D701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实物档案和音像档案整理</w:t>
            </w:r>
          </w:p>
        </w:tc>
      </w:tr>
      <w:tr w14:paraId="1C19C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1" w:hRule="atLeast"/>
          <w:jc w:val="center"/>
        </w:trPr>
        <w:tc>
          <w:tcPr>
            <w:tcW w:w="911" w:type="dxa"/>
            <w:noWrap w:val="0"/>
            <w:vAlign w:val="center"/>
          </w:tcPr>
          <w:p w14:paraId="73BFEA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lang w:eastAsia="zh-CN"/>
              </w:rPr>
              <w:t>档案数字</w:t>
            </w:r>
            <w:r>
              <w:rPr>
                <w:rFonts w:hint="default" w:ascii="Times New Roman" w:hAnsi="Times New Roman" w:eastAsia="仿宋_GB2312" w:cs="Times New Roman"/>
                <w:color w:val="000000"/>
                <w:sz w:val="24"/>
                <w:szCs w:val="24"/>
                <w:lang w:eastAsia="zh-CN"/>
              </w:rPr>
              <w:t>化服务</w:t>
            </w:r>
          </w:p>
        </w:tc>
        <w:tc>
          <w:tcPr>
            <w:tcW w:w="4111" w:type="dxa"/>
            <w:noWrap w:val="0"/>
            <w:vAlign w:val="center"/>
          </w:tcPr>
          <w:p w14:paraId="586863BF">
            <w:pPr>
              <w:keepNext w:val="0"/>
              <w:keepLines w:val="0"/>
              <w:pageBreakBefore w:val="0"/>
              <w:widowControl w:val="0"/>
              <w:tabs>
                <w:tab w:val="left" w:pos="922"/>
              </w:tabs>
              <w:kinsoku/>
              <w:wordWrap/>
              <w:overflowPunct/>
              <w:topLinePunct w:val="0"/>
              <w:autoSpaceDE/>
              <w:autoSpaceDN/>
              <w:bidi w:val="0"/>
              <w:adjustRightInd/>
              <w:snapToGrid/>
              <w:spacing w:line="440" w:lineRule="exact"/>
              <w:ind w:left="150"/>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kern w:val="2"/>
                <w:sz w:val="24"/>
                <w:szCs w:val="24"/>
                <w:lang w:eastAsia="zh-CN"/>
              </w:rPr>
              <w:t>完成各门类纸质档案数字化扫描及备份管理工作；提供档案数字化技术支持及协助完成年度相关档案管理工作。包括但不限于以下内容:1.档案扫描、图像处理、文件命名、拆装复原；2.按照档案规范整理数据；3.核对电子档案文件数与目录情况；4.对档案系统软件目录进行著录、校核等，档案存储硬盘矩阵目录及文件进行对应更新；5.整理、甄别、校核等工作。</w:t>
            </w:r>
          </w:p>
        </w:tc>
        <w:tc>
          <w:tcPr>
            <w:tcW w:w="1381" w:type="dxa"/>
            <w:vMerge w:val="continue"/>
            <w:noWrap w:val="0"/>
            <w:vAlign w:val="center"/>
          </w:tcPr>
          <w:p w14:paraId="716218E4">
            <w:pPr>
              <w:keepNext w:val="0"/>
              <w:keepLines w:val="0"/>
              <w:pageBreakBefore w:val="0"/>
              <w:widowControl w:val="0"/>
              <w:tabs>
                <w:tab w:val="left" w:pos="922"/>
              </w:tabs>
              <w:kinsoku/>
              <w:wordWrap/>
              <w:overflowPunct/>
              <w:topLinePunct w:val="0"/>
              <w:autoSpaceDE/>
              <w:autoSpaceDN/>
              <w:bidi w:val="0"/>
              <w:adjustRightInd/>
              <w:snapToGrid/>
              <w:spacing w:line="440" w:lineRule="exact"/>
              <w:ind w:left="150"/>
              <w:textAlignment w:val="auto"/>
              <w:rPr>
                <w:rFonts w:hint="default" w:ascii="Times New Roman" w:hAnsi="Times New Roman" w:eastAsia="仿宋_GB2312" w:cs="Times New Roman"/>
                <w:kern w:val="2"/>
                <w:sz w:val="24"/>
                <w:szCs w:val="24"/>
                <w:lang w:eastAsia="zh-CN"/>
              </w:rPr>
            </w:pPr>
          </w:p>
        </w:tc>
        <w:tc>
          <w:tcPr>
            <w:tcW w:w="1276" w:type="dxa"/>
            <w:vMerge w:val="continue"/>
            <w:noWrap w:val="0"/>
            <w:vAlign w:val="center"/>
          </w:tcPr>
          <w:p w14:paraId="4951532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p>
        </w:tc>
        <w:tc>
          <w:tcPr>
            <w:tcW w:w="1837" w:type="dxa"/>
            <w:noWrap w:val="0"/>
            <w:vAlign w:val="center"/>
          </w:tcPr>
          <w:p w14:paraId="77F17F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0.</w:t>
            </w:r>
            <w:r>
              <w:rPr>
                <w:rFonts w:hint="default" w:ascii="Times New Roman" w:hAnsi="Times New Roman" w:eastAsia="仿宋_GB2312" w:cs="Times New Roman"/>
                <w:kern w:val="2"/>
                <w:sz w:val="24"/>
                <w:szCs w:val="24"/>
                <w:lang w:val="en-US" w:eastAsia="zh-CN"/>
              </w:rPr>
              <w:t>5</w:t>
            </w:r>
            <w:r>
              <w:rPr>
                <w:rFonts w:hint="default" w:ascii="Times New Roman" w:hAnsi="Times New Roman" w:eastAsia="仿宋_GB2312" w:cs="Times New Roman"/>
                <w:kern w:val="2"/>
                <w:sz w:val="24"/>
                <w:szCs w:val="24"/>
                <w:lang w:eastAsia="zh-CN"/>
              </w:rPr>
              <w:t>元/页</w:t>
            </w:r>
          </w:p>
        </w:tc>
        <w:tc>
          <w:tcPr>
            <w:tcW w:w="1318" w:type="dxa"/>
            <w:noWrap w:val="0"/>
            <w:vAlign w:val="center"/>
          </w:tcPr>
          <w:p w14:paraId="04BB8FC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档案数字化扫描</w:t>
            </w:r>
          </w:p>
        </w:tc>
      </w:tr>
      <w:tr w14:paraId="25424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11" w:type="dxa"/>
            <w:noWrap w:val="0"/>
            <w:vAlign w:val="center"/>
          </w:tcPr>
          <w:p w14:paraId="1FC2CF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档案装具耗材</w:t>
            </w:r>
          </w:p>
          <w:p w14:paraId="4E9D26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4"/>
                <w:szCs w:val="24"/>
                <w:lang w:eastAsia="zh-CN"/>
              </w:rPr>
            </w:pPr>
          </w:p>
        </w:tc>
        <w:tc>
          <w:tcPr>
            <w:tcW w:w="4111" w:type="dxa"/>
            <w:noWrap w:val="0"/>
            <w:vAlign w:val="center"/>
          </w:tcPr>
          <w:p w14:paraId="704F2B2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kern w:val="2"/>
                <w:sz w:val="24"/>
                <w:szCs w:val="24"/>
                <w:lang w:eastAsia="zh-CN"/>
              </w:rPr>
              <w:t>档案盒、目录册、彩页纸、标签、打印纸、封条、文具用品、光盘、优盘等。</w:t>
            </w:r>
          </w:p>
        </w:tc>
        <w:tc>
          <w:tcPr>
            <w:tcW w:w="1381" w:type="dxa"/>
            <w:vMerge w:val="continue"/>
            <w:noWrap w:val="0"/>
            <w:vAlign w:val="center"/>
          </w:tcPr>
          <w:p w14:paraId="6FDEF92E">
            <w:pPr>
              <w:keepNext w:val="0"/>
              <w:keepLines w:val="0"/>
              <w:pageBreakBefore w:val="0"/>
              <w:widowControl w:val="0"/>
              <w:tabs>
                <w:tab w:val="left" w:pos="922"/>
              </w:tabs>
              <w:kinsoku/>
              <w:wordWrap/>
              <w:overflowPunct/>
              <w:topLinePunct w:val="0"/>
              <w:autoSpaceDE/>
              <w:autoSpaceDN/>
              <w:bidi w:val="0"/>
              <w:adjustRightInd/>
              <w:snapToGrid/>
              <w:spacing w:line="440" w:lineRule="exact"/>
              <w:ind w:left="150"/>
              <w:textAlignment w:val="auto"/>
              <w:rPr>
                <w:rFonts w:hint="default" w:ascii="Times New Roman" w:hAnsi="Times New Roman" w:eastAsia="仿宋_GB2312" w:cs="Times New Roman"/>
                <w:kern w:val="2"/>
                <w:sz w:val="24"/>
                <w:szCs w:val="24"/>
                <w:lang w:eastAsia="zh-CN"/>
              </w:rPr>
            </w:pPr>
          </w:p>
        </w:tc>
        <w:tc>
          <w:tcPr>
            <w:tcW w:w="1276" w:type="dxa"/>
            <w:vMerge w:val="continue"/>
            <w:noWrap w:val="0"/>
            <w:vAlign w:val="center"/>
          </w:tcPr>
          <w:p w14:paraId="01F426A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p>
        </w:tc>
        <w:tc>
          <w:tcPr>
            <w:tcW w:w="1837" w:type="dxa"/>
            <w:noWrap w:val="0"/>
            <w:vAlign w:val="center"/>
          </w:tcPr>
          <w:p w14:paraId="6FF611A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采购供应商负责。</w:t>
            </w:r>
          </w:p>
        </w:tc>
        <w:tc>
          <w:tcPr>
            <w:tcW w:w="1318" w:type="dxa"/>
            <w:noWrap w:val="0"/>
            <w:vAlign w:val="center"/>
          </w:tcPr>
          <w:p w14:paraId="124A5A0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采购供应商负责。</w:t>
            </w:r>
          </w:p>
        </w:tc>
      </w:tr>
    </w:tbl>
    <w:p w14:paraId="59988D14">
      <w:pPr>
        <w:spacing w:line="500" w:lineRule="exact"/>
        <w:ind w:firstLine="640" w:firstLineChars="20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（五）项目完成时间。</w:t>
      </w:r>
    </w:p>
    <w:p w14:paraId="6C4FC45A">
      <w:pPr>
        <w:spacing w:line="5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自合同签订之日起120个自然日内完成。（服务供应商需在项目完成后提供壹年的维保质保服务。）</w:t>
      </w:r>
    </w:p>
    <w:p w14:paraId="4705BD17">
      <w:pPr>
        <w:spacing w:line="500" w:lineRule="exact"/>
        <w:ind w:firstLine="640" w:firstLineChars="20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（六）项目完成提交成果和验收。</w:t>
      </w:r>
    </w:p>
    <w:p w14:paraId="227E837C">
      <w:pPr>
        <w:widowControl w:val="0"/>
        <w:spacing w:line="500" w:lineRule="exact"/>
        <w:ind w:firstLine="640" w:firstLineChars="200"/>
        <w:jc w:val="both"/>
        <w:rPr>
          <w:rFonts w:hint="default" w:ascii="Times New Roman" w:hAnsi="Times New Roman" w:eastAsia="楷体" w:cs="Times New Roman"/>
          <w:kern w:val="2"/>
          <w:sz w:val="32"/>
          <w:szCs w:val="32"/>
          <w:lang w:eastAsia="zh-CN"/>
        </w:rPr>
      </w:pPr>
      <w:r>
        <w:rPr>
          <w:rFonts w:hint="default" w:ascii="Times New Roman" w:hAnsi="Times New Roman" w:eastAsia="楷体" w:cs="Times New Roman"/>
          <w:kern w:val="2"/>
          <w:sz w:val="32"/>
          <w:szCs w:val="32"/>
          <w:lang w:eastAsia="zh-CN"/>
        </w:rPr>
        <w:t>1.项目提交成果。</w:t>
      </w:r>
    </w:p>
    <w:p w14:paraId="1E13C3B2">
      <w:pPr>
        <w:widowControl w:val="0"/>
        <w:spacing w:line="50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（1）提交已完成归档的各门类档案实体，符合国家相应档案整理规范标准及采购人要求，无档案损毁或丢失。</w:t>
      </w:r>
    </w:p>
    <w:p w14:paraId="7EED3DB6">
      <w:pPr>
        <w:widowControl w:val="0"/>
        <w:spacing w:line="50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（2）各门类档案条目录入档案系统，提交按规范打印并装订的各门类档案目录。</w:t>
      </w:r>
    </w:p>
    <w:p w14:paraId="47B6B138">
      <w:pPr>
        <w:widowControl w:val="0"/>
        <w:spacing w:line="50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（3）其他相关工作按采购人要求提交对应的文件及资料成果。</w:t>
      </w:r>
    </w:p>
    <w:p w14:paraId="353A7FDE">
      <w:pPr>
        <w:widowControl w:val="0"/>
        <w:spacing w:line="500" w:lineRule="exact"/>
        <w:ind w:firstLine="640" w:firstLineChars="200"/>
        <w:jc w:val="both"/>
        <w:rPr>
          <w:rFonts w:hint="default" w:ascii="Times New Roman" w:hAnsi="Times New Roman" w:eastAsia="仿宋_GB2312" w:cs="Times New Roman"/>
          <w:color w:val="FF0000"/>
          <w:sz w:val="28"/>
          <w:szCs w:val="30"/>
          <w:lang w:eastAsia="zh-CN"/>
        </w:rPr>
      </w:pPr>
      <w:r>
        <w:rPr>
          <w:rFonts w:hint="default" w:ascii="Times New Roman" w:hAnsi="Times New Roman" w:eastAsia="仿宋_GB2312" w:cs="Times New Roman"/>
          <w:kern w:val="2"/>
          <w:sz w:val="32"/>
          <w:szCs w:val="32"/>
          <w:lang w:eastAsia="zh-CN"/>
        </w:rPr>
        <w:t>（4）按照档案安全管理相关要求做好本次档案数字化数据的备份，并按照《电子文件归档与电子档案管理规范》（GB/T 18894-2016）等相关最新规定格式移交数字化文档（备份不少于3套）。</w:t>
      </w:r>
    </w:p>
    <w:p w14:paraId="0B27501A">
      <w:pPr>
        <w:widowControl w:val="0"/>
        <w:spacing w:line="500" w:lineRule="exact"/>
        <w:ind w:firstLine="640" w:firstLineChars="200"/>
        <w:jc w:val="both"/>
        <w:rPr>
          <w:rFonts w:hint="default" w:ascii="Times New Roman" w:hAnsi="Times New Roman" w:eastAsia="楷体" w:cs="Times New Roman"/>
          <w:kern w:val="2"/>
          <w:sz w:val="32"/>
          <w:szCs w:val="32"/>
          <w:lang w:eastAsia="zh-CN"/>
        </w:rPr>
      </w:pPr>
      <w:r>
        <w:rPr>
          <w:rFonts w:hint="default" w:ascii="Times New Roman" w:hAnsi="Times New Roman" w:eastAsia="楷体" w:cs="Times New Roman"/>
          <w:kern w:val="2"/>
          <w:sz w:val="32"/>
          <w:szCs w:val="32"/>
          <w:lang w:eastAsia="zh-CN"/>
        </w:rPr>
        <w:t>2.项目抽检或验收要求。</w:t>
      </w:r>
    </w:p>
    <w:p w14:paraId="5369F40B">
      <w:pPr>
        <w:widowControl w:val="0"/>
        <w:spacing w:line="50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采购人（或采购人委托第三方专业服务供应商）对档案实体、数字化档案数据抽样检查，并签署确认项目抽检记录作为档案整理、数字化扫描完成的验收重要佐证材料；工作总结及项目成果相关材料以采购人在完成通过验收确认为准。要求如下：</w:t>
      </w:r>
    </w:p>
    <w:p w14:paraId="46E39D5D">
      <w:pPr>
        <w:widowControl w:val="0"/>
        <w:spacing w:line="50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（1）验收标准：项目提供辅助性服务、工作报告及项目成果相关材料以采购人在完成通过验收确认为准；实体及数字化档案按照国家档案管理等有关文件标准。</w:t>
      </w:r>
    </w:p>
    <w:p w14:paraId="19F3D44B">
      <w:pPr>
        <w:widowControl w:val="0"/>
        <w:spacing w:line="50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（2）服务供应商须确保在整理、扫描过程中不对档案原件造成二次损坏。</w:t>
      </w:r>
    </w:p>
    <w:p w14:paraId="43501310">
      <w:pPr>
        <w:widowControl w:val="0"/>
        <w:spacing w:line="50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（3）供应商质控自抽检：项目实施期间服务供应商应安排专人对项目实施自检措施并做好抽检过程记录作为采购人开展验收重要参考依据，自抽检比例不能低于20%。</w:t>
      </w:r>
    </w:p>
    <w:p w14:paraId="388464F3">
      <w:pPr>
        <w:widowControl w:val="0"/>
        <w:spacing w:line="50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（4）初步抽检阶段：由采购人（或委托第三方专业服务供应商）组织开展初步抽检，抽检率不少于5%；初检发现的问题，由服务供应商抓紧修改完善。</w:t>
      </w:r>
    </w:p>
    <w:p w14:paraId="304DB65D">
      <w:pPr>
        <w:widowControl w:val="0"/>
        <w:spacing w:line="500" w:lineRule="exact"/>
        <w:ind w:firstLine="640" w:firstLineChars="200"/>
        <w:jc w:val="both"/>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kern w:val="2"/>
          <w:sz w:val="32"/>
          <w:szCs w:val="32"/>
          <w:lang w:eastAsia="zh-CN"/>
        </w:rPr>
        <w:t>（5）合同终验阶段：由采购人（或采购人委托第三方专业服务供应商）组织对服务供应商完成的扫描图像进行项目合同整体验收，验收抽检率不少于10%</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合格率需达100%；如未达到标准要求，服务供应商需无条件整改直至验收合格，采购人不再支付额外费用。</w:t>
      </w:r>
      <w:bookmarkStart w:id="0" w:name="_GoBack"/>
      <w:bookmarkEnd w:id="0"/>
    </w:p>
    <w:sectPr>
      <w:footerReference r:id="rId3" w:type="default"/>
      <w:pgSz w:w="11906" w:h="16838"/>
      <w:pgMar w:top="1440" w:right="1416"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34F7C8-DCEF-45C9-B478-8E171B71D8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DA7E526-4209-441D-B2E8-45B179ABD9D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embedRegular r:id="rId3" w:fontKey="{4D009D54-9BE1-495B-B393-140F7E437D2C}"/>
  </w:font>
  <w:font w:name="楷体">
    <w:panose1 w:val="02010609060101010101"/>
    <w:charset w:val="86"/>
    <w:family w:val="modern"/>
    <w:pitch w:val="default"/>
    <w:sig w:usb0="800002BF" w:usb1="38CF7CFA" w:usb2="00000016" w:usb3="00000000" w:csb0="00040001" w:csb1="00000000"/>
    <w:embedRegular r:id="rId4" w:fontKey="{841BF1E7-FFD0-4016-93CA-9C2FB0982FAA}"/>
  </w:font>
  <w:font w:name="楷体_GB2312">
    <w:panose1 w:val="02010609030101010101"/>
    <w:charset w:val="86"/>
    <w:family w:val="modern"/>
    <w:pitch w:val="default"/>
    <w:sig w:usb0="00000001" w:usb1="080E0000" w:usb2="00000000" w:usb3="00000000" w:csb0="00040000" w:csb1="00000000"/>
    <w:embedRegular r:id="rId5" w:fontKey="{9292B3E8-95C4-4B45-9FDF-C04A416186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E5F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DF643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3DF643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409B7"/>
    <w:rsid w:val="000126E9"/>
    <w:rsid w:val="000230BF"/>
    <w:rsid w:val="0004545C"/>
    <w:rsid w:val="00047B69"/>
    <w:rsid w:val="000512FF"/>
    <w:rsid w:val="00055A5E"/>
    <w:rsid w:val="00072C85"/>
    <w:rsid w:val="00074053"/>
    <w:rsid w:val="00082178"/>
    <w:rsid w:val="000A7754"/>
    <w:rsid w:val="000B56C3"/>
    <w:rsid w:val="000C1C7C"/>
    <w:rsid w:val="000C363E"/>
    <w:rsid w:val="000D5111"/>
    <w:rsid w:val="000D7151"/>
    <w:rsid w:val="00103A57"/>
    <w:rsid w:val="00103C0B"/>
    <w:rsid w:val="00107A69"/>
    <w:rsid w:val="00113C09"/>
    <w:rsid w:val="0012280C"/>
    <w:rsid w:val="001247FD"/>
    <w:rsid w:val="001C3905"/>
    <w:rsid w:val="001C6D16"/>
    <w:rsid w:val="001E01FC"/>
    <w:rsid w:val="00211520"/>
    <w:rsid w:val="00225DD6"/>
    <w:rsid w:val="002318BC"/>
    <w:rsid w:val="00240708"/>
    <w:rsid w:val="00246D2F"/>
    <w:rsid w:val="00267BFF"/>
    <w:rsid w:val="00273A3E"/>
    <w:rsid w:val="0027488A"/>
    <w:rsid w:val="002767D4"/>
    <w:rsid w:val="00286B3C"/>
    <w:rsid w:val="00293CF7"/>
    <w:rsid w:val="002B3245"/>
    <w:rsid w:val="002B5ED5"/>
    <w:rsid w:val="002B6F23"/>
    <w:rsid w:val="002D3025"/>
    <w:rsid w:val="002F08D0"/>
    <w:rsid w:val="00323080"/>
    <w:rsid w:val="00324488"/>
    <w:rsid w:val="00325839"/>
    <w:rsid w:val="00340CAE"/>
    <w:rsid w:val="00341ED5"/>
    <w:rsid w:val="0034234B"/>
    <w:rsid w:val="003448C7"/>
    <w:rsid w:val="00347749"/>
    <w:rsid w:val="00363BF1"/>
    <w:rsid w:val="003650BD"/>
    <w:rsid w:val="00374012"/>
    <w:rsid w:val="00376BF8"/>
    <w:rsid w:val="00385ECA"/>
    <w:rsid w:val="00387532"/>
    <w:rsid w:val="0038797A"/>
    <w:rsid w:val="00390012"/>
    <w:rsid w:val="003953CB"/>
    <w:rsid w:val="003A07F6"/>
    <w:rsid w:val="003B5446"/>
    <w:rsid w:val="003B5898"/>
    <w:rsid w:val="003C3892"/>
    <w:rsid w:val="003C7BD7"/>
    <w:rsid w:val="003E2EAB"/>
    <w:rsid w:val="003F3814"/>
    <w:rsid w:val="003F3FF4"/>
    <w:rsid w:val="00412F50"/>
    <w:rsid w:val="00427F1C"/>
    <w:rsid w:val="004350C6"/>
    <w:rsid w:val="004445FF"/>
    <w:rsid w:val="00461CE2"/>
    <w:rsid w:val="00464338"/>
    <w:rsid w:val="00476FF1"/>
    <w:rsid w:val="00477BF9"/>
    <w:rsid w:val="00482493"/>
    <w:rsid w:val="00492AE7"/>
    <w:rsid w:val="004B7DC8"/>
    <w:rsid w:val="004C5B3B"/>
    <w:rsid w:val="0051662D"/>
    <w:rsid w:val="00570211"/>
    <w:rsid w:val="00586C1B"/>
    <w:rsid w:val="005A67CB"/>
    <w:rsid w:val="005B037E"/>
    <w:rsid w:val="005D2B6C"/>
    <w:rsid w:val="005D6753"/>
    <w:rsid w:val="005F6672"/>
    <w:rsid w:val="00603B7F"/>
    <w:rsid w:val="00603EC7"/>
    <w:rsid w:val="00615BD3"/>
    <w:rsid w:val="00615D08"/>
    <w:rsid w:val="00624F0C"/>
    <w:rsid w:val="00644CE9"/>
    <w:rsid w:val="0066157C"/>
    <w:rsid w:val="0066769B"/>
    <w:rsid w:val="00686DDB"/>
    <w:rsid w:val="006A6CF8"/>
    <w:rsid w:val="006B6BCB"/>
    <w:rsid w:val="006E5DC4"/>
    <w:rsid w:val="00700FDA"/>
    <w:rsid w:val="007061C6"/>
    <w:rsid w:val="00721844"/>
    <w:rsid w:val="00746CE5"/>
    <w:rsid w:val="00753B39"/>
    <w:rsid w:val="00770E5C"/>
    <w:rsid w:val="007745FE"/>
    <w:rsid w:val="00777FF1"/>
    <w:rsid w:val="007860B9"/>
    <w:rsid w:val="0079319F"/>
    <w:rsid w:val="0079392E"/>
    <w:rsid w:val="007A165D"/>
    <w:rsid w:val="007B5941"/>
    <w:rsid w:val="007C007C"/>
    <w:rsid w:val="007C692D"/>
    <w:rsid w:val="007D571B"/>
    <w:rsid w:val="007F4149"/>
    <w:rsid w:val="007F7AEF"/>
    <w:rsid w:val="0080243D"/>
    <w:rsid w:val="00803EAF"/>
    <w:rsid w:val="008258A3"/>
    <w:rsid w:val="008317D8"/>
    <w:rsid w:val="008321CB"/>
    <w:rsid w:val="008535EA"/>
    <w:rsid w:val="00854096"/>
    <w:rsid w:val="00876C71"/>
    <w:rsid w:val="008913E2"/>
    <w:rsid w:val="008B360C"/>
    <w:rsid w:val="008D5C86"/>
    <w:rsid w:val="008E4172"/>
    <w:rsid w:val="008E5250"/>
    <w:rsid w:val="00901349"/>
    <w:rsid w:val="00917324"/>
    <w:rsid w:val="00963B79"/>
    <w:rsid w:val="00974E61"/>
    <w:rsid w:val="009832D4"/>
    <w:rsid w:val="00985A8A"/>
    <w:rsid w:val="00994CDA"/>
    <w:rsid w:val="009A57A4"/>
    <w:rsid w:val="009B7DF4"/>
    <w:rsid w:val="009D498D"/>
    <w:rsid w:val="009F720D"/>
    <w:rsid w:val="00A20D68"/>
    <w:rsid w:val="00A27C68"/>
    <w:rsid w:val="00A40DAC"/>
    <w:rsid w:val="00A61DF8"/>
    <w:rsid w:val="00A77D95"/>
    <w:rsid w:val="00A87431"/>
    <w:rsid w:val="00A916A5"/>
    <w:rsid w:val="00AC1A7D"/>
    <w:rsid w:val="00AD396B"/>
    <w:rsid w:val="00AE38B6"/>
    <w:rsid w:val="00AE46C2"/>
    <w:rsid w:val="00B043CC"/>
    <w:rsid w:val="00B21AE7"/>
    <w:rsid w:val="00B25F56"/>
    <w:rsid w:val="00B41688"/>
    <w:rsid w:val="00B47F83"/>
    <w:rsid w:val="00B53833"/>
    <w:rsid w:val="00B53E26"/>
    <w:rsid w:val="00B62339"/>
    <w:rsid w:val="00B67B27"/>
    <w:rsid w:val="00B730F2"/>
    <w:rsid w:val="00B73649"/>
    <w:rsid w:val="00B80CD1"/>
    <w:rsid w:val="00B87765"/>
    <w:rsid w:val="00BA5F1E"/>
    <w:rsid w:val="00C0377F"/>
    <w:rsid w:val="00C0486E"/>
    <w:rsid w:val="00C26BA1"/>
    <w:rsid w:val="00C571FC"/>
    <w:rsid w:val="00C61359"/>
    <w:rsid w:val="00CA63DB"/>
    <w:rsid w:val="00CA6E43"/>
    <w:rsid w:val="00CB09F1"/>
    <w:rsid w:val="00CB2FF5"/>
    <w:rsid w:val="00CB6435"/>
    <w:rsid w:val="00CE5160"/>
    <w:rsid w:val="00CE558B"/>
    <w:rsid w:val="00D2379D"/>
    <w:rsid w:val="00D25392"/>
    <w:rsid w:val="00D30CEE"/>
    <w:rsid w:val="00D40D47"/>
    <w:rsid w:val="00D41CCD"/>
    <w:rsid w:val="00D42E5D"/>
    <w:rsid w:val="00D55B32"/>
    <w:rsid w:val="00D614DD"/>
    <w:rsid w:val="00D73476"/>
    <w:rsid w:val="00D76293"/>
    <w:rsid w:val="00D76FC6"/>
    <w:rsid w:val="00DC1475"/>
    <w:rsid w:val="00DC7786"/>
    <w:rsid w:val="00DD04BB"/>
    <w:rsid w:val="00DE1AE3"/>
    <w:rsid w:val="00DE34AD"/>
    <w:rsid w:val="00DF2024"/>
    <w:rsid w:val="00DF2F94"/>
    <w:rsid w:val="00E304FD"/>
    <w:rsid w:val="00E57421"/>
    <w:rsid w:val="00E60C4C"/>
    <w:rsid w:val="00E97A03"/>
    <w:rsid w:val="00EB0589"/>
    <w:rsid w:val="00EB1759"/>
    <w:rsid w:val="00EC1AF3"/>
    <w:rsid w:val="00F03A7B"/>
    <w:rsid w:val="00F37F67"/>
    <w:rsid w:val="00F6207E"/>
    <w:rsid w:val="00F6226B"/>
    <w:rsid w:val="00F64C23"/>
    <w:rsid w:val="00F8206F"/>
    <w:rsid w:val="00F83BE3"/>
    <w:rsid w:val="00F93EA8"/>
    <w:rsid w:val="00FA22FA"/>
    <w:rsid w:val="00FB6076"/>
    <w:rsid w:val="00FC34E9"/>
    <w:rsid w:val="00FF0826"/>
    <w:rsid w:val="00FF28E3"/>
    <w:rsid w:val="015A704D"/>
    <w:rsid w:val="018409B7"/>
    <w:rsid w:val="01D13030"/>
    <w:rsid w:val="02710546"/>
    <w:rsid w:val="04EF039B"/>
    <w:rsid w:val="051169A9"/>
    <w:rsid w:val="07316028"/>
    <w:rsid w:val="0983332C"/>
    <w:rsid w:val="0C156A8C"/>
    <w:rsid w:val="0E044B9A"/>
    <w:rsid w:val="0EFB1D2D"/>
    <w:rsid w:val="10CF3F9D"/>
    <w:rsid w:val="11CF48C6"/>
    <w:rsid w:val="12220D33"/>
    <w:rsid w:val="142E11FF"/>
    <w:rsid w:val="14C85297"/>
    <w:rsid w:val="14FD869C"/>
    <w:rsid w:val="16A44DCB"/>
    <w:rsid w:val="18931169"/>
    <w:rsid w:val="1920407D"/>
    <w:rsid w:val="19ED1338"/>
    <w:rsid w:val="19FF15CA"/>
    <w:rsid w:val="1AC71DC4"/>
    <w:rsid w:val="1CAB68C3"/>
    <w:rsid w:val="1CEE3EA2"/>
    <w:rsid w:val="1E953001"/>
    <w:rsid w:val="1FB72A96"/>
    <w:rsid w:val="1FDB470E"/>
    <w:rsid w:val="20EC4A4D"/>
    <w:rsid w:val="24504CB1"/>
    <w:rsid w:val="2452246C"/>
    <w:rsid w:val="26426B6D"/>
    <w:rsid w:val="26B59883"/>
    <w:rsid w:val="271E6063"/>
    <w:rsid w:val="290D02FD"/>
    <w:rsid w:val="2AED5E7D"/>
    <w:rsid w:val="2BED1C8B"/>
    <w:rsid w:val="2BFD63B3"/>
    <w:rsid w:val="2E4F6312"/>
    <w:rsid w:val="2E7669A9"/>
    <w:rsid w:val="2FE43584"/>
    <w:rsid w:val="3073229F"/>
    <w:rsid w:val="31332F9C"/>
    <w:rsid w:val="371840E9"/>
    <w:rsid w:val="37A21D75"/>
    <w:rsid w:val="395842DB"/>
    <w:rsid w:val="397F089F"/>
    <w:rsid w:val="3ACA050B"/>
    <w:rsid w:val="3B1D3D80"/>
    <w:rsid w:val="3CF65903"/>
    <w:rsid w:val="3DE360D7"/>
    <w:rsid w:val="3E013018"/>
    <w:rsid w:val="3E095DB7"/>
    <w:rsid w:val="3E7320C8"/>
    <w:rsid w:val="3EB6A9D1"/>
    <w:rsid w:val="3FBBC279"/>
    <w:rsid w:val="4096687E"/>
    <w:rsid w:val="426258BF"/>
    <w:rsid w:val="42805979"/>
    <w:rsid w:val="44520E7F"/>
    <w:rsid w:val="4BEF04CF"/>
    <w:rsid w:val="4D5018A7"/>
    <w:rsid w:val="4EEBF914"/>
    <w:rsid w:val="4F997DCA"/>
    <w:rsid w:val="5022158D"/>
    <w:rsid w:val="50EC2727"/>
    <w:rsid w:val="515E0CBF"/>
    <w:rsid w:val="54581970"/>
    <w:rsid w:val="56750307"/>
    <w:rsid w:val="578435E0"/>
    <w:rsid w:val="579826A8"/>
    <w:rsid w:val="58B77D8F"/>
    <w:rsid w:val="5BAE0740"/>
    <w:rsid w:val="5C9D335D"/>
    <w:rsid w:val="5D7F6123"/>
    <w:rsid w:val="5EFDF96C"/>
    <w:rsid w:val="60135E0B"/>
    <w:rsid w:val="603B5086"/>
    <w:rsid w:val="61E7772C"/>
    <w:rsid w:val="629148C2"/>
    <w:rsid w:val="63C33D2D"/>
    <w:rsid w:val="644D1D23"/>
    <w:rsid w:val="68B834D5"/>
    <w:rsid w:val="6A343805"/>
    <w:rsid w:val="6AB62A3E"/>
    <w:rsid w:val="6BDEC7F0"/>
    <w:rsid w:val="6D374F82"/>
    <w:rsid w:val="6DDFE2E3"/>
    <w:rsid w:val="6F8E457E"/>
    <w:rsid w:val="6FDB682E"/>
    <w:rsid w:val="732A4A96"/>
    <w:rsid w:val="737300C9"/>
    <w:rsid w:val="73A128A5"/>
    <w:rsid w:val="73FFE65E"/>
    <w:rsid w:val="747E5433"/>
    <w:rsid w:val="75D90835"/>
    <w:rsid w:val="7692B60B"/>
    <w:rsid w:val="7B1E187B"/>
    <w:rsid w:val="7BED49D7"/>
    <w:rsid w:val="7BF555DE"/>
    <w:rsid w:val="7C4003F3"/>
    <w:rsid w:val="7CD3DFDC"/>
    <w:rsid w:val="7D3F4C7E"/>
    <w:rsid w:val="7E7ECA8E"/>
    <w:rsid w:val="7EF6CE86"/>
    <w:rsid w:val="7FC918E0"/>
    <w:rsid w:val="7FF914F8"/>
    <w:rsid w:val="AF1EAF6B"/>
    <w:rsid w:val="AFFDD930"/>
    <w:rsid w:val="AFFFE3CD"/>
    <w:rsid w:val="B6EED4A7"/>
    <w:rsid w:val="C876C4A3"/>
    <w:rsid w:val="CCDB5A35"/>
    <w:rsid w:val="CDEE5C91"/>
    <w:rsid w:val="CEFEF546"/>
    <w:rsid w:val="D6FB71B9"/>
    <w:rsid w:val="DF752E16"/>
    <w:rsid w:val="DFAF43E6"/>
    <w:rsid w:val="E7DEBF92"/>
    <w:rsid w:val="E97720D1"/>
    <w:rsid w:val="EE5F4834"/>
    <w:rsid w:val="EE6B6674"/>
    <w:rsid w:val="EFF7D8F1"/>
    <w:rsid w:val="F1B9FF25"/>
    <w:rsid w:val="F1CF1E30"/>
    <w:rsid w:val="F6EF932A"/>
    <w:rsid w:val="F6FB62D5"/>
    <w:rsid w:val="F77328FE"/>
    <w:rsid w:val="F9F5D63C"/>
    <w:rsid w:val="FBFB9585"/>
    <w:rsid w:val="FCCBA511"/>
    <w:rsid w:val="FFF55140"/>
    <w:rsid w:val="FFF6B3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en-US" w:bidi="ar-SA"/>
    </w:rPr>
  </w:style>
  <w:style w:type="character" w:default="1" w:styleId="8">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annotation text"/>
    <w:basedOn w:val="1"/>
    <w:link w:val="11"/>
    <w:unhideWhenUsed/>
    <w:uiPriority w:val="99"/>
  </w:style>
  <w:style w:type="paragraph" w:styleId="3">
    <w:name w:val="Balloon Text"/>
    <w:basedOn w:val="1"/>
    <w:link w:val="12"/>
    <w:unhideWhenUsed/>
    <w:uiPriority w:val="99"/>
    <w:rPr>
      <w:sz w:val="18"/>
      <w:szCs w:val="18"/>
    </w:rPr>
  </w:style>
  <w:style w:type="paragraph" w:styleId="4">
    <w:name w:val="footer"/>
    <w:basedOn w:val="1"/>
    <w:link w:val="10"/>
    <w:unhideWhenUsed/>
    <w:uiPriority w:val="99"/>
    <w:pPr>
      <w:widowControl w:val="0"/>
      <w:tabs>
        <w:tab w:val="center" w:pos="4153"/>
        <w:tab w:val="right" w:pos="8306"/>
      </w:tabs>
      <w:snapToGrid w:val="0"/>
    </w:pPr>
    <w:rPr>
      <w:rFonts w:ascii="等线" w:hAnsi="等线" w:eastAsia="等线" w:cs="Times New Roman"/>
      <w:kern w:val="2"/>
      <w:sz w:val="18"/>
      <w:szCs w:val="18"/>
      <w:lang w:eastAsia="zh-CN"/>
    </w:rPr>
  </w:style>
  <w:style w:type="paragraph" w:styleId="5">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等线" w:hAnsi="等线" w:eastAsia="等线" w:cs="Times New Roman"/>
      <w:kern w:val="2"/>
      <w:sz w:val="18"/>
      <w:szCs w:val="18"/>
      <w:lang w:eastAsia="zh-CN"/>
    </w:rPr>
  </w:style>
  <w:style w:type="paragraph" w:styleId="6">
    <w:name w:val="annotation subject"/>
    <w:basedOn w:val="2"/>
    <w:next w:val="2"/>
    <w:link w:val="14"/>
    <w:unhideWhenUsed/>
    <w:qFormat/>
    <w:uiPriority w:val="99"/>
    <w:rPr>
      <w:b/>
      <w:bCs/>
    </w:rPr>
  </w:style>
  <w:style w:type="character" w:styleId="9">
    <w:name w:val="annotation reference"/>
    <w:unhideWhenUsed/>
    <w:qFormat/>
    <w:uiPriority w:val="99"/>
    <w:rPr>
      <w:sz w:val="21"/>
      <w:szCs w:val="21"/>
    </w:rPr>
  </w:style>
  <w:style w:type="character" w:customStyle="1" w:styleId="10">
    <w:name w:val="页脚 Char"/>
    <w:link w:val="4"/>
    <w:qFormat/>
    <w:uiPriority w:val="99"/>
    <w:rPr>
      <w:sz w:val="18"/>
      <w:szCs w:val="18"/>
    </w:rPr>
  </w:style>
  <w:style w:type="character" w:customStyle="1" w:styleId="11">
    <w:name w:val="批注文字 Char"/>
    <w:link w:val="2"/>
    <w:semiHidden/>
    <w:uiPriority w:val="99"/>
    <w:rPr>
      <w:lang w:eastAsia="en-US"/>
    </w:rPr>
  </w:style>
  <w:style w:type="character" w:customStyle="1" w:styleId="12">
    <w:name w:val="批注框文本 Char"/>
    <w:link w:val="3"/>
    <w:semiHidden/>
    <w:uiPriority w:val="99"/>
    <w:rPr>
      <w:sz w:val="18"/>
      <w:szCs w:val="18"/>
      <w:lang w:eastAsia="en-US"/>
    </w:rPr>
  </w:style>
  <w:style w:type="character" w:customStyle="1" w:styleId="13">
    <w:name w:val="页眉 Char"/>
    <w:link w:val="5"/>
    <w:qFormat/>
    <w:uiPriority w:val="99"/>
    <w:rPr>
      <w:sz w:val="18"/>
      <w:szCs w:val="18"/>
    </w:rPr>
  </w:style>
  <w:style w:type="character" w:customStyle="1" w:styleId="14">
    <w:name w:val="批注主题 Char"/>
    <w:link w:val="6"/>
    <w:semiHidden/>
    <w:uiPriority w:val="99"/>
    <w:rPr>
      <w:b/>
      <w:bCs/>
      <w:lang w:eastAsia="en-US"/>
    </w:rPr>
  </w:style>
  <w:style w:type="paragraph" w:customStyle="1" w:styleId="15">
    <w:name w:val="form text"/>
    <w:basedOn w:val="1"/>
    <w:uiPriority w:val="0"/>
    <w:pPr>
      <w:spacing w:before="120"/>
    </w:pPr>
    <w:rPr>
      <w:b/>
      <w:i/>
      <w:sz w:val="22"/>
    </w:rPr>
  </w:style>
  <w:style w:type="paragraph" w:customStyle="1" w:styleId="16">
    <w:name w:val="narrat style"/>
    <w:basedOn w:val="17"/>
    <w:qFormat/>
    <w:uiPriority w:val="0"/>
    <w:pPr>
      <w:spacing w:before="120"/>
      <w:ind w:left="720" w:right="86"/>
    </w:pPr>
    <w:rPr>
      <w:rFonts w:ascii="Times New Roman" w:hAnsi="Times New Roman"/>
      <w:b w:val="0"/>
      <w:sz w:val="20"/>
    </w:rPr>
  </w:style>
  <w:style w:type="paragraph" w:customStyle="1" w:styleId="17">
    <w:name w:val="Section Heading"/>
    <w:basedOn w:val="1"/>
    <w:uiPriority w:val="0"/>
    <w:rPr>
      <w:rFonts w:ascii="Book Antiqua" w:hAnsi="Book Antiqua"/>
      <w:b/>
      <w:sz w:val="24"/>
    </w:rPr>
  </w:style>
  <w:style w:type="paragraph" w:customStyle="1" w:styleId="18">
    <w:name w:val="_Style 17"/>
    <w:unhideWhenUsed/>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fa98400-5323-42e4-aa33-910bc56489e2\&#39033;&#30446;&#38656;&#27714;&#24314;&#35758;&#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项目需求建议书.docx</Template>
  <Company>Microsoft</Company>
  <Pages>4</Pages>
  <Words>3271</Words>
  <Characters>3383</Characters>
  <Lines>28</Lines>
  <Paragraphs>8</Paragraphs>
  <TotalTime>5</TotalTime>
  <ScaleCrop>false</ScaleCrop>
  <LinksUpToDate>false</LinksUpToDate>
  <CharactersWithSpaces>3393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2023-07-31T01:32:00Z</dcterms:created>
  <dc:creator>梁洁余</dc:creator>
  <cp:lastModifiedBy>梁洁余</cp:lastModifiedBy>
  <cp:lastPrinted>2022-09-30T22:33:00Z</cp:lastPrinted>
  <dcterms:modified xsi:type="dcterms:W3CDTF">2026-03-02T08:45:38Z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v1.0_mb_QueX9IosyImQoaTivc+9AQ==</vt:lpwstr>
  </property>
  <property fmtid="{D5CDD505-2E9C-101B-9397-08002B2CF9AE}" pid="4" name="ICV">
    <vt:lpwstr>8FF080DEF80E42B9A42FD35A58F66C03_13</vt:lpwstr>
  </property>
  <property fmtid="{D5CDD505-2E9C-101B-9397-08002B2CF9AE}" pid="5" name="KSOTemplateDocerSaveRecord">
    <vt:lpwstr>eyJoZGlkIjoiNDU2MTYyZDc2NTRlNzYxYWEwZGJjNGUyYzVjOTMwNGYiLCJ1c2VySWQiOiIzODY5MDY4NjMifQ==</vt:lpwstr>
  </property>
</Properties>
</file>