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10BB82">
      <w:pPr>
        <w:keepNext w:val="0"/>
        <w:keepLines w:val="0"/>
        <w:pageBreakBefore w:val="0"/>
        <w:widowControl w:val="0"/>
        <w:kinsoku/>
        <w:wordWrap/>
        <w:overflowPunct/>
        <w:topLinePunct w:val="0"/>
        <w:autoSpaceDE/>
        <w:autoSpaceDN/>
        <w:bidi w:val="0"/>
        <w:adjustRightInd/>
        <w:snapToGrid/>
        <w:spacing w:line="620" w:lineRule="exact"/>
        <w:jc w:val="center"/>
        <w:rPr>
          <w:rFonts w:hint="eastAsia" w:ascii="国标小标宋" w:hAnsi="国标小标宋" w:eastAsia="国标小标宋" w:cs="国标小标宋"/>
          <w:b/>
          <w:bCs/>
          <w:sz w:val="44"/>
          <w:szCs w:val="44"/>
        </w:rPr>
      </w:pPr>
      <w:bookmarkStart w:id="5" w:name="_GoBack"/>
      <w:bookmarkEnd w:id="5"/>
      <w:r>
        <w:rPr>
          <w:rFonts w:hint="eastAsia" w:ascii="国标小标宋" w:hAnsi="国标小标宋" w:eastAsia="国标小标宋" w:cs="国标小标宋"/>
          <w:b/>
          <w:bCs/>
          <w:sz w:val="44"/>
          <w:szCs w:val="44"/>
          <w:lang w:val="en-US" w:eastAsia="zh-CN"/>
        </w:rPr>
        <w:t>广州</w:t>
      </w:r>
      <w:r>
        <w:rPr>
          <w:rFonts w:hint="eastAsia" w:ascii="国标小标宋" w:hAnsi="国标小标宋" w:eastAsia="国标小标宋" w:cs="国标小标宋"/>
          <w:b/>
          <w:bCs/>
          <w:sz w:val="44"/>
          <w:szCs w:val="44"/>
        </w:rPr>
        <w:t>市生态环境局荔湾环境监测站</w:t>
      </w:r>
    </w:p>
    <w:p w14:paraId="26F158F6">
      <w:pPr>
        <w:keepNext w:val="0"/>
        <w:keepLines w:val="0"/>
        <w:pageBreakBefore w:val="0"/>
        <w:widowControl w:val="0"/>
        <w:kinsoku/>
        <w:wordWrap/>
        <w:overflowPunct/>
        <w:topLinePunct w:val="0"/>
        <w:autoSpaceDE/>
        <w:autoSpaceDN/>
        <w:bidi w:val="0"/>
        <w:adjustRightInd/>
        <w:snapToGrid/>
        <w:spacing w:line="620" w:lineRule="exact"/>
        <w:jc w:val="center"/>
        <w:rPr>
          <w:rFonts w:hint="eastAsia" w:ascii="国标小标宋" w:hAnsi="国标小标宋" w:eastAsia="国标小标宋" w:cs="国标小标宋"/>
          <w:b w:val="0"/>
          <w:bCs w:val="0"/>
          <w:sz w:val="44"/>
          <w:szCs w:val="44"/>
          <w:lang w:val="en-US" w:eastAsia="zh-CN"/>
        </w:rPr>
      </w:pPr>
      <w:r>
        <w:rPr>
          <w:rFonts w:hint="eastAsia" w:ascii="国标小标宋" w:hAnsi="国标小标宋" w:eastAsia="国标小标宋" w:cs="国标小标宋"/>
          <w:b/>
          <w:bCs/>
          <w:sz w:val="44"/>
          <w:szCs w:val="44"/>
          <w:lang w:val="en-US" w:eastAsia="zh-CN"/>
        </w:rPr>
        <w:t>2026年监测任务外委项目</w:t>
      </w:r>
      <w:r>
        <w:rPr>
          <w:rFonts w:hint="eastAsia" w:ascii="国标小标宋" w:hAnsi="国标小标宋" w:eastAsia="国标小标宋" w:cs="国标小标宋"/>
          <w:b/>
          <w:bCs/>
          <w:sz w:val="44"/>
          <w:szCs w:val="44"/>
          <w:lang w:eastAsia="zh-CN"/>
        </w:rPr>
        <w:t>需求书</w:t>
      </w:r>
    </w:p>
    <w:p w14:paraId="28646FCF">
      <w:pPr>
        <w:rPr>
          <w:rFonts w:hint="eastAsia" w:ascii="仿宋" w:hAnsi="仿宋" w:eastAsia="仿宋" w:cs="仿宋"/>
          <w:b w:val="0"/>
          <w:bCs w:val="0"/>
          <w:sz w:val="24"/>
          <w:szCs w:val="32"/>
        </w:rPr>
      </w:pPr>
    </w:p>
    <w:p w14:paraId="73AF8396">
      <w:pPr>
        <w:pStyle w:val="15"/>
        <w:keepNext w:val="0"/>
        <w:keepLines w:val="0"/>
        <w:pageBreakBefore w:val="0"/>
        <w:overflowPunct/>
        <w:topLinePunct w:val="0"/>
        <w:bidi w:val="0"/>
        <w:spacing w:line="560" w:lineRule="exact"/>
        <w:ind w:firstLine="640" w:firstLineChars="200"/>
        <w:outlineLvl w:val="2"/>
        <w:rPr>
          <w:rFonts w:hint="eastAsia" w:ascii="国标黑体" w:hAnsi="国标黑体" w:eastAsia="国标黑体" w:cs="国标黑体"/>
          <w:b w:val="0"/>
          <w:bCs/>
          <w:color w:val="auto"/>
          <w:sz w:val="32"/>
          <w:szCs w:val="32"/>
        </w:rPr>
      </w:pPr>
      <w:r>
        <w:rPr>
          <w:rFonts w:hint="eastAsia" w:ascii="国标黑体" w:hAnsi="国标黑体" w:eastAsia="国标黑体" w:cs="国标黑体"/>
          <w:b w:val="0"/>
          <w:bCs/>
          <w:color w:val="auto"/>
          <w:sz w:val="32"/>
          <w:szCs w:val="32"/>
        </w:rPr>
        <w:t>一、项目概况</w:t>
      </w:r>
    </w:p>
    <w:p w14:paraId="2B3B3CF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根据相关法律法规、技术规范的要求，完成采购人委托的环境检测服务</w:t>
      </w:r>
      <w:r>
        <w:rPr>
          <w:rFonts w:hint="eastAsia" w:ascii="仿宋" w:hAnsi="仿宋" w:eastAsia="仿宋" w:cs="仿宋"/>
          <w:b w:val="0"/>
          <w:bCs w:val="0"/>
          <w:sz w:val="32"/>
          <w:szCs w:val="32"/>
          <w:lang w:eastAsia="zh-CN"/>
        </w:rPr>
        <w:t>。</w:t>
      </w:r>
    </w:p>
    <w:p w14:paraId="1DA2983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rPr>
          <w:rFonts w:hint="default" w:ascii="国标黑体" w:hAnsi="国标黑体" w:eastAsia="国标黑体" w:cs="国标黑体"/>
          <w:b w:val="0"/>
          <w:bCs/>
          <w:color w:val="auto"/>
          <w:kern w:val="0"/>
          <w:sz w:val="32"/>
          <w:szCs w:val="32"/>
          <w:lang w:val="en-US" w:eastAsia="zh-CN" w:bidi="ar-SA"/>
        </w:rPr>
      </w:pPr>
      <w:r>
        <w:rPr>
          <w:rFonts w:hint="eastAsia" w:ascii="国标黑体" w:hAnsi="国标黑体" w:eastAsia="国标黑体" w:cs="国标黑体"/>
          <w:b w:val="0"/>
          <w:bCs/>
          <w:color w:val="auto"/>
          <w:kern w:val="0"/>
          <w:sz w:val="32"/>
          <w:szCs w:val="32"/>
          <w:lang w:val="en-US" w:eastAsia="zh-CN" w:bidi="ar-SA"/>
        </w:rPr>
        <w:t>二</w:t>
      </w:r>
      <w:r>
        <w:rPr>
          <w:rFonts w:hint="default" w:ascii="国标黑体" w:hAnsi="国标黑体" w:eastAsia="国标黑体" w:cs="国标黑体"/>
          <w:b w:val="0"/>
          <w:bCs/>
          <w:color w:val="auto"/>
          <w:kern w:val="0"/>
          <w:sz w:val="32"/>
          <w:szCs w:val="32"/>
          <w:lang w:val="en-US" w:eastAsia="zh-CN" w:bidi="ar-SA"/>
        </w:rPr>
        <w:t>、项目最高限价</w:t>
      </w:r>
      <w:r>
        <w:rPr>
          <w:rFonts w:hint="eastAsia" w:ascii="国标黑体" w:hAnsi="国标黑体" w:eastAsia="国标黑体" w:cs="国标黑体"/>
          <w:b w:val="0"/>
          <w:bCs/>
          <w:color w:val="auto"/>
          <w:kern w:val="0"/>
          <w:sz w:val="32"/>
          <w:szCs w:val="32"/>
          <w:lang w:val="en-US" w:eastAsia="zh-CN" w:bidi="ar-SA"/>
        </w:rPr>
        <w:t>及完成</w:t>
      </w:r>
      <w:r>
        <w:rPr>
          <w:rFonts w:hint="default" w:ascii="国标黑体" w:hAnsi="国标黑体" w:eastAsia="国标黑体" w:cs="国标黑体"/>
          <w:b w:val="0"/>
          <w:bCs/>
          <w:color w:val="auto"/>
          <w:kern w:val="0"/>
          <w:sz w:val="32"/>
          <w:szCs w:val="32"/>
          <w:lang w:val="en-US" w:eastAsia="zh-CN" w:bidi="ar-SA"/>
        </w:rPr>
        <w:t>期限</w:t>
      </w:r>
    </w:p>
    <w:p w14:paraId="004325A7">
      <w:pPr>
        <w:pStyle w:val="16"/>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（一）本</w:t>
      </w:r>
      <w:r>
        <w:rPr>
          <w:rFonts w:hint="default" w:ascii="Times New Roman" w:hAnsi="Times New Roman" w:eastAsia="仿宋_GB2312" w:cs="Times New Roman"/>
          <w:kern w:val="2"/>
          <w:sz w:val="32"/>
          <w:szCs w:val="32"/>
          <w:lang w:val="en-US" w:eastAsia="zh-CN" w:bidi="ar-SA"/>
        </w:rPr>
        <w:t>项目</w:t>
      </w:r>
      <w:r>
        <w:rPr>
          <w:rFonts w:hint="eastAsia" w:ascii="Times New Roman" w:hAnsi="Times New Roman" w:eastAsia="仿宋_GB2312" w:cs="Times New Roman"/>
          <w:kern w:val="2"/>
          <w:sz w:val="32"/>
          <w:szCs w:val="32"/>
          <w:lang w:val="en-US" w:eastAsia="zh-CN" w:bidi="ar-SA"/>
        </w:rPr>
        <w:t>预算不超过人民币壹拾贰万圆整（</w:t>
      </w:r>
      <w:r>
        <w:rPr>
          <w:rFonts w:hint="eastAsia" w:ascii="方正仿宋_GB2312" w:hAnsi="方正仿宋_GB2312" w:eastAsia="方正仿宋_GB2312" w:cs="方正仿宋_GB2312"/>
          <w:kern w:val="2"/>
          <w:sz w:val="32"/>
          <w:szCs w:val="32"/>
          <w:lang w:val="en-US" w:eastAsia="zh-CN" w:bidi="ar-SA"/>
        </w:rPr>
        <w:t>小写：</w:t>
      </w:r>
      <w:r>
        <w:rPr>
          <w:rFonts w:hint="default" w:ascii="Times New Roman" w:hAnsi="Times New Roman" w:eastAsia="方正仿宋_GB2312" w:cs="Times New Roman"/>
          <w:kern w:val="2"/>
          <w:sz w:val="32"/>
          <w:szCs w:val="32"/>
          <w:lang w:val="en-US" w:eastAsia="zh-CN" w:bidi="ar-SA"/>
        </w:rPr>
        <w:t>¥120000.00</w:t>
      </w:r>
      <w:r>
        <w:rPr>
          <w:rFonts w:hint="eastAsia" w:ascii="方正仿宋_GB2312" w:hAnsi="方正仿宋_GB2312" w:eastAsia="方正仿宋_GB2312" w:cs="方正仿宋_GB2312"/>
          <w:kern w:val="2"/>
          <w:sz w:val="32"/>
          <w:szCs w:val="32"/>
          <w:lang w:val="en-US" w:eastAsia="zh-CN" w:bidi="ar-SA"/>
        </w:rPr>
        <w:t>）</w:t>
      </w:r>
      <w:r>
        <w:rPr>
          <w:rFonts w:hint="eastAsia" w:ascii="Times New Roman" w:hAnsi="Times New Roman" w:eastAsia="仿宋_GB2312" w:cs="Times New Roman"/>
          <w:kern w:val="2"/>
          <w:sz w:val="32"/>
          <w:szCs w:val="32"/>
          <w:lang w:val="en-US" w:eastAsia="zh-CN" w:bidi="ar-SA"/>
        </w:rPr>
        <w:t>。</w:t>
      </w:r>
    </w:p>
    <w:p w14:paraId="1AF660AF">
      <w:pPr>
        <w:pStyle w:val="16"/>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rPr>
          <w:rFonts w:hint="eastAsia" w:ascii="Times New Roman" w:hAnsi="Times New Roman" w:eastAsia="仿宋_GB2312"/>
          <w:sz w:val="32"/>
          <w:szCs w:val="32"/>
          <w:lang w:val="en-US" w:eastAsia="zh-CN"/>
        </w:rPr>
      </w:pPr>
      <w:r>
        <w:rPr>
          <w:rFonts w:hint="eastAsia" w:ascii="Times New Roman" w:hAnsi="Times New Roman" w:eastAsia="仿宋_GB2312" w:cs="Times New Roman"/>
          <w:kern w:val="2"/>
          <w:sz w:val="32"/>
          <w:szCs w:val="32"/>
          <w:lang w:val="en-US" w:eastAsia="zh-CN" w:bidi="ar-SA"/>
        </w:rPr>
        <w:t>（二）完成期限：自合同签订之日起至2026年11月30日前完成项目的全部内容</w:t>
      </w:r>
      <w:r>
        <w:rPr>
          <w:rFonts w:hint="eastAsia" w:ascii="Times New Roman" w:hAnsi="Times New Roman" w:eastAsia="仿宋_GB2312"/>
          <w:sz w:val="32"/>
          <w:szCs w:val="32"/>
          <w:lang w:val="en-US" w:eastAsia="zh-CN"/>
        </w:rPr>
        <w:t>。</w:t>
      </w:r>
    </w:p>
    <w:p w14:paraId="26B36DC6">
      <w:pPr>
        <w:pStyle w:val="15"/>
        <w:keepNext w:val="0"/>
        <w:keepLines w:val="0"/>
        <w:pageBreakBefore w:val="0"/>
        <w:overflowPunct/>
        <w:topLinePunct w:val="0"/>
        <w:bidi w:val="0"/>
        <w:spacing w:line="560" w:lineRule="exact"/>
        <w:ind w:firstLine="640" w:firstLineChars="200"/>
        <w:outlineLvl w:val="2"/>
        <w:rPr>
          <w:rFonts w:hint="eastAsia" w:ascii="国标黑体" w:hAnsi="国标黑体" w:eastAsia="国标黑体" w:cs="国标黑体"/>
          <w:b/>
          <w:color w:val="auto"/>
          <w:sz w:val="32"/>
          <w:szCs w:val="32"/>
          <w:lang w:val="en-US" w:eastAsia="zh-CN"/>
        </w:rPr>
      </w:pPr>
      <w:r>
        <w:rPr>
          <w:rFonts w:hint="eastAsia" w:ascii="国标黑体" w:hAnsi="国标黑体" w:eastAsia="国标黑体" w:cs="国标黑体"/>
          <w:b w:val="0"/>
          <w:bCs/>
          <w:color w:val="auto"/>
          <w:sz w:val="32"/>
          <w:szCs w:val="32"/>
          <w:lang w:val="en-US" w:eastAsia="zh-CN"/>
        </w:rPr>
        <w:t>三、需求内</w:t>
      </w:r>
      <w:r>
        <w:rPr>
          <w:rFonts w:hint="eastAsia" w:ascii="国标黑体" w:hAnsi="国标黑体" w:eastAsia="国标黑体" w:cs="国标黑体"/>
          <w:b/>
          <w:color w:val="auto"/>
          <w:sz w:val="32"/>
          <w:szCs w:val="32"/>
          <w:lang w:val="en-US" w:eastAsia="zh-CN"/>
        </w:rPr>
        <w:t>容</w:t>
      </w:r>
    </w:p>
    <w:p w14:paraId="0B171C1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（一）完成采购人委托的</w:t>
      </w:r>
      <w:r>
        <w:rPr>
          <w:rFonts w:hint="eastAsia" w:ascii="仿宋" w:hAnsi="仿宋" w:eastAsia="仿宋" w:cs="仿宋"/>
          <w:b w:val="0"/>
          <w:bCs w:val="0"/>
          <w:sz w:val="32"/>
          <w:szCs w:val="32"/>
          <w:lang w:val="en-US" w:eastAsia="zh-CN"/>
        </w:rPr>
        <w:t>环境检测服务，包括但不限于污水厂周边土壤监测、污水厂出水监测、</w:t>
      </w:r>
      <w:r>
        <w:rPr>
          <w:rFonts w:hint="eastAsia" w:ascii="方正仿宋_GB2312" w:hAnsi="方正仿宋_GB2312" w:eastAsia="方正仿宋_GB2312" w:cs="方正仿宋_GB2312"/>
          <w:b w:val="0"/>
          <w:bCs w:val="0"/>
          <w:sz w:val="32"/>
          <w:szCs w:val="32"/>
          <w:lang w:val="en-US" w:eastAsia="zh-CN"/>
        </w:rPr>
        <w:t>环境质量监测、污染源监测、应急监测等检测任务。主要涉及的监测因子如表1所示。</w:t>
      </w:r>
    </w:p>
    <w:p w14:paraId="23D19A87">
      <w:pPr>
        <w:pStyle w:val="5"/>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黑体" w:hAnsi="黑体" w:eastAsia="黑体" w:cs="黑体"/>
          <w:sz w:val="28"/>
          <w:szCs w:val="36"/>
          <w:lang w:val="en-US" w:eastAsia="zh-CN"/>
        </w:rPr>
      </w:pPr>
      <w:r>
        <w:rPr>
          <w:rFonts w:hint="eastAsia" w:ascii="黑体" w:hAnsi="黑体" w:eastAsia="黑体" w:cs="黑体"/>
          <w:sz w:val="28"/>
          <w:szCs w:val="36"/>
          <w:lang w:val="en-US" w:eastAsia="zh-CN"/>
        </w:rPr>
        <w:t>表1  监测因子需求表</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82"/>
        <w:gridCol w:w="6840"/>
      </w:tblGrid>
      <w:tr w14:paraId="18F89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89" w:type="dxa"/>
            <w:vAlign w:val="center"/>
          </w:tcPr>
          <w:p w14:paraId="756448BD">
            <w:pPr>
              <w:pStyle w:val="5"/>
              <w:adjustRightInd w:val="0"/>
              <w:snapToGrid w:val="0"/>
              <w:spacing w:after="0"/>
              <w:jc w:val="center"/>
              <w:rPr>
                <w:rFonts w:hint="eastAsia" w:ascii="黑体" w:hAnsi="黑体" w:eastAsia="黑体" w:cs="黑体"/>
                <w:vertAlign w:val="baseline"/>
                <w:lang w:val="en-US" w:eastAsia="zh-CN"/>
              </w:rPr>
            </w:pPr>
            <w:r>
              <w:rPr>
                <w:rFonts w:hint="eastAsia" w:ascii="黑体" w:hAnsi="黑体" w:eastAsia="黑体" w:cs="黑体"/>
                <w:vertAlign w:val="baseline"/>
                <w:lang w:val="en-US" w:eastAsia="zh-CN"/>
              </w:rPr>
              <w:t>类别</w:t>
            </w:r>
          </w:p>
        </w:tc>
        <w:tc>
          <w:tcPr>
            <w:tcW w:w="7306" w:type="dxa"/>
            <w:vAlign w:val="center"/>
          </w:tcPr>
          <w:p w14:paraId="66B4895D">
            <w:pPr>
              <w:pStyle w:val="5"/>
              <w:adjustRightInd w:val="0"/>
              <w:snapToGrid w:val="0"/>
              <w:spacing w:after="0"/>
              <w:jc w:val="center"/>
              <w:rPr>
                <w:rFonts w:hint="eastAsia" w:ascii="黑体" w:hAnsi="黑体" w:eastAsia="黑体" w:cs="黑体"/>
                <w:vertAlign w:val="baseline"/>
                <w:lang w:val="en-US" w:eastAsia="zh-CN"/>
              </w:rPr>
            </w:pPr>
            <w:r>
              <w:rPr>
                <w:rFonts w:hint="eastAsia" w:ascii="黑体" w:hAnsi="黑体" w:eastAsia="黑体" w:cs="黑体"/>
                <w:vertAlign w:val="baseline"/>
                <w:lang w:val="en-US" w:eastAsia="zh-CN"/>
              </w:rPr>
              <w:t>监测因子</w:t>
            </w:r>
          </w:p>
        </w:tc>
      </w:tr>
      <w:tr w14:paraId="7BDD8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89" w:type="dxa"/>
            <w:vAlign w:val="center"/>
          </w:tcPr>
          <w:p w14:paraId="4BEA30EE">
            <w:pPr>
              <w:pStyle w:val="5"/>
              <w:adjustRightInd w:val="0"/>
              <w:snapToGrid w:val="0"/>
              <w:spacing w:after="0"/>
              <w:jc w:val="center"/>
              <w:rPr>
                <w:rFonts w:hint="default"/>
                <w:vertAlign w:val="baseline"/>
                <w:lang w:val="en-US" w:eastAsia="zh-CN"/>
              </w:rPr>
            </w:pPr>
            <w:r>
              <w:rPr>
                <w:rFonts w:hint="eastAsia"/>
                <w:vertAlign w:val="baseline"/>
                <w:lang w:val="en-US" w:eastAsia="zh-CN"/>
              </w:rPr>
              <w:t>有组织废气</w:t>
            </w:r>
          </w:p>
        </w:tc>
        <w:tc>
          <w:tcPr>
            <w:tcW w:w="7306" w:type="dxa"/>
            <w:vAlign w:val="center"/>
          </w:tcPr>
          <w:p w14:paraId="60509629">
            <w:pPr>
              <w:pStyle w:val="5"/>
              <w:adjustRightInd w:val="0"/>
              <w:snapToGrid w:val="0"/>
              <w:spacing w:after="0"/>
              <w:jc w:val="left"/>
              <w:rPr>
                <w:rFonts w:hint="default"/>
                <w:vertAlign w:val="baseline"/>
                <w:lang w:val="en-US" w:eastAsia="zh-CN"/>
              </w:rPr>
            </w:pPr>
            <w:r>
              <w:rPr>
                <w:rFonts w:hint="eastAsia"/>
                <w:vertAlign w:val="baseline"/>
                <w:lang w:val="en-US" w:eastAsia="zh-CN"/>
              </w:rPr>
              <w:t>TVOC或总VOCs、颗粒物/烟尘、低浓度颗粒物、氯化氢、臭气浓度、苯系物、氯气、甲醇、甲醛</w:t>
            </w:r>
          </w:p>
        </w:tc>
      </w:tr>
      <w:tr w14:paraId="18F8B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89" w:type="dxa"/>
            <w:vAlign w:val="center"/>
          </w:tcPr>
          <w:p w14:paraId="713A8433">
            <w:pPr>
              <w:pStyle w:val="5"/>
              <w:adjustRightInd w:val="0"/>
              <w:snapToGrid w:val="0"/>
              <w:spacing w:after="0"/>
              <w:jc w:val="center"/>
              <w:rPr>
                <w:rFonts w:hint="default"/>
                <w:vertAlign w:val="baseline"/>
                <w:lang w:val="en-US" w:eastAsia="zh-CN"/>
              </w:rPr>
            </w:pPr>
            <w:r>
              <w:rPr>
                <w:rFonts w:hint="eastAsia"/>
                <w:vertAlign w:val="baseline"/>
                <w:lang w:val="en-US" w:eastAsia="zh-CN"/>
              </w:rPr>
              <w:t>无组织废气</w:t>
            </w:r>
          </w:p>
        </w:tc>
        <w:tc>
          <w:tcPr>
            <w:tcW w:w="7306" w:type="dxa"/>
            <w:vAlign w:val="center"/>
          </w:tcPr>
          <w:p w14:paraId="6EBB645B">
            <w:pPr>
              <w:pStyle w:val="5"/>
              <w:adjustRightInd w:val="0"/>
              <w:snapToGrid w:val="0"/>
              <w:spacing w:after="0"/>
              <w:jc w:val="left"/>
              <w:rPr>
                <w:rFonts w:hint="default"/>
                <w:vertAlign w:val="baseline"/>
                <w:lang w:val="en-US" w:eastAsia="zh-CN"/>
              </w:rPr>
            </w:pPr>
            <w:r>
              <w:rPr>
                <w:rFonts w:hint="eastAsia"/>
                <w:vertAlign w:val="baseline"/>
                <w:lang w:val="en-US" w:eastAsia="zh-CN"/>
              </w:rPr>
              <w:t>臭气浓度、氨、TVOC或VOCs或总VOCs、苯系物、总悬浮颗粒物</w:t>
            </w:r>
          </w:p>
        </w:tc>
      </w:tr>
      <w:tr w14:paraId="7BA0D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89" w:type="dxa"/>
            <w:vAlign w:val="center"/>
          </w:tcPr>
          <w:p w14:paraId="3745F442">
            <w:pPr>
              <w:pStyle w:val="5"/>
              <w:adjustRightInd w:val="0"/>
              <w:snapToGrid w:val="0"/>
              <w:spacing w:after="0"/>
              <w:jc w:val="center"/>
              <w:rPr>
                <w:rFonts w:hint="default"/>
                <w:vertAlign w:val="baseline"/>
                <w:lang w:val="en-US" w:eastAsia="zh-CN"/>
              </w:rPr>
            </w:pPr>
            <w:r>
              <w:rPr>
                <w:rFonts w:hint="eastAsia"/>
                <w:vertAlign w:val="baseline"/>
                <w:lang w:val="en-US" w:eastAsia="zh-CN"/>
              </w:rPr>
              <w:t>土壤</w:t>
            </w:r>
          </w:p>
        </w:tc>
        <w:tc>
          <w:tcPr>
            <w:tcW w:w="7306" w:type="dxa"/>
            <w:vAlign w:val="center"/>
          </w:tcPr>
          <w:p w14:paraId="44804106">
            <w:pPr>
              <w:pStyle w:val="5"/>
              <w:adjustRightInd w:val="0"/>
              <w:snapToGrid w:val="0"/>
              <w:spacing w:after="0" w:line="260" w:lineRule="exact"/>
              <w:jc w:val="left"/>
              <w:rPr>
                <w:rFonts w:hint="eastAsia" w:eastAsia="宋体" w:cs="宋体"/>
                <w:vertAlign w:val="baseline"/>
                <w:lang w:val="en-US" w:eastAsia="zh-CN"/>
              </w:rPr>
            </w:pPr>
            <w:r>
              <w:rPr>
                <w:rFonts w:hint="eastAsia" w:eastAsia="宋体" w:cs="宋体"/>
                <w:vertAlign w:val="baseline"/>
                <w:lang w:val="en-US" w:eastAsia="zh-CN"/>
              </w:rPr>
              <w:t>理化指标：pH、有机质含量和阳离子交换量；</w:t>
            </w:r>
          </w:p>
          <w:p w14:paraId="79FB7778">
            <w:pPr>
              <w:pStyle w:val="5"/>
              <w:adjustRightInd w:val="0"/>
              <w:snapToGrid w:val="0"/>
              <w:spacing w:after="0" w:line="260" w:lineRule="exact"/>
              <w:jc w:val="left"/>
              <w:rPr>
                <w:rFonts w:hint="eastAsia" w:eastAsia="宋体" w:cs="宋体"/>
                <w:vertAlign w:val="baseline"/>
                <w:lang w:val="en-US" w:eastAsia="zh-CN"/>
              </w:rPr>
            </w:pPr>
            <w:r>
              <w:rPr>
                <w:rFonts w:hint="eastAsia" w:eastAsia="宋体" w:cs="宋体"/>
                <w:vertAlign w:val="baseline"/>
                <w:lang w:val="en-US" w:eastAsia="zh-CN"/>
              </w:rPr>
              <w:t>无机污染物：镉、汞、砷、铅、铬、铜、锌和镍等8种元素的全量，</w:t>
            </w:r>
          </w:p>
          <w:p w14:paraId="5CC803D4">
            <w:pPr>
              <w:pStyle w:val="5"/>
              <w:adjustRightInd w:val="0"/>
              <w:snapToGrid w:val="0"/>
              <w:spacing w:after="0" w:line="260" w:lineRule="exact"/>
              <w:jc w:val="left"/>
              <w:rPr>
                <w:rFonts w:hint="default"/>
                <w:vertAlign w:val="baseline"/>
                <w:lang w:val="en-US" w:eastAsia="zh-CN"/>
              </w:rPr>
            </w:pPr>
            <w:r>
              <w:rPr>
                <w:rFonts w:hint="eastAsia" w:eastAsia="宋体" w:cs="宋体"/>
                <w:vertAlign w:val="baseline"/>
                <w:lang w:val="en-US" w:eastAsia="zh-CN"/>
              </w:rPr>
              <w:t>有机污染物：多环芳烃（苊烯、苊、芴、菲、蒽、荧蒽、芘、苯并（a）蒽、䓛、苯并（b）荧蒽、苯并（k）荧蒽、苯并（a）芘、茚苯（1,2,3-c,d）芘、二苯并（a,h）蒽和苯并（g,h,i）苝）</w:t>
            </w:r>
          </w:p>
        </w:tc>
      </w:tr>
    </w:tbl>
    <w:p w14:paraId="02CB1AC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二）成交供应商需完全按《检验检测机构资质认定评审准则》、《检验检测机构资质认定生态环境监测机构评审补充要求》《市场监管总局关于对检验检测机构资质认定实施“一单一库”管理的公告》（2026年第14号）等文件要求执行。在环境监测的废水、废气、噪声、环境空气、土壤等项目的采样和分析过程中，成交供应商的检测方法应符合现行有效的国家标准、行业标准、地方标准和国家有关的规定要求。检测方法应采用有效期内资质认定附表内项目对应的方法，不得超范围检测。</w:t>
      </w:r>
    </w:p>
    <w:p w14:paraId="6CB70E23">
      <w:pPr>
        <w:keepNext w:val="0"/>
        <w:keepLines w:val="0"/>
        <w:pageBreakBefore w:val="0"/>
        <w:widowControl w:val="0"/>
        <w:numPr>
          <w:ilvl w:val="-1"/>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（三）</w:t>
      </w:r>
      <w:r>
        <w:rPr>
          <w:rFonts w:hint="eastAsia" w:ascii="Times New Roman" w:hAnsi="Times New Roman" w:eastAsia="仿宋_GB2312" w:cs="Times New Roman"/>
          <w:sz w:val="32"/>
          <w:szCs w:val="32"/>
          <w:lang w:val="en-US" w:eastAsia="zh-CN"/>
        </w:rPr>
        <w:t>受委托检测机构，须在监测过程中按照广东省生态环境厅的相关要求使用“广东省生态环境监测业务监管系统（https://www-app.gdeei.cn/jcywjg/）”开展监测。</w:t>
      </w:r>
    </w:p>
    <w:p w14:paraId="27039603">
      <w:pPr>
        <w:keepNext w:val="0"/>
        <w:keepLines w:val="0"/>
        <w:pageBreakBefore w:val="0"/>
        <w:widowControl w:val="0"/>
        <w:numPr>
          <w:ilvl w:val="-1"/>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方正仿宋_GB2312" w:hAnsi="方正仿宋_GB2312" w:eastAsia="方正仿宋_GB2312" w:cs="方正仿宋_GB2312"/>
          <w:b w:val="0"/>
          <w:bCs w:val="0"/>
          <w:sz w:val="32"/>
          <w:szCs w:val="32"/>
          <w:lang w:val="en-US" w:eastAsia="zh-CN"/>
        </w:rPr>
        <w:t>（四）</w:t>
      </w:r>
      <w:r>
        <w:rPr>
          <w:rFonts w:hint="eastAsia" w:ascii="Times New Roman" w:hAnsi="Times New Roman" w:eastAsia="仿宋_GB2312" w:cs="Times New Roman"/>
          <w:sz w:val="32"/>
          <w:szCs w:val="32"/>
          <w:lang w:val="en-US" w:eastAsia="zh-CN"/>
        </w:rPr>
        <w:t>受委托</w:t>
      </w:r>
      <w:r>
        <w:rPr>
          <w:rFonts w:hint="eastAsia" w:ascii="仿宋_GB2312" w:hAnsi="仿宋_GB2312" w:eastAsia="仿宋_GB2312" w:cs="仿宋_GB2312"/>
          <w:b w:val="0"/>
          <w:bCs/>
          <w:sz w:val="32"/>
          <w:szCs w:val="32"/>
          <w:lang w:val="en-US" w:eastAsia="zh-CN"/>
        </w:rPr>
        <w:t>的</w:t>
      </w:r>
      <w:r>
        <w:rPr>
          <w:rFonts w:hint="eastAsia" w:ascii="Times New Roman" w:hAnsi="Times New Roman" w:eastAsia="仿宋_GB2312" w:cs="Times New Roman"/>
          <w:sz w:val="32"/>
          <w:szCs w:val="32"/>
          <w:lang w:val="en-US" w:eastAsia="zh-CN"/>
        </w:rPr>
        <w:t>检测机构</w:t>
      </w:r>
      <w:r>
        <w:rPr>
          <w:rFonts w:hint="default" w:ascii="Times New Roman" w:hAnsi="Times New Roman" w:eastAsia="仿宋_GB2312" w:cs="Times New Roman"/>
          <w:sz w:val="32"/>
          <w:szCs w:val="32"/>
          <w:lang w:eastAsia="zh-CN"/>
        </w:rPr>
        <w:t>于完成现场采样监测15天内，向</w:t>
      </w:r>
      <w:r>
        <w:rPr>
          <w:rFonts w:hint="eastAsia" w:ascii="Times New Roman" w:hAnsi="Times New Roman" w:eastAsia="仿宋_GB2312" w:cs="Times New Roman"/>
          <w:sz w:val="32"/>
          <w:szCs w:val="32"/>
          <w:lang w:val="en-US" w:eastAsia="zh-CN"/>
        </w:rPr>
        <w:t>采购人</w:t>
      </w:r>
      <w:r>
        <w:rPr>
          <w:rFonts w:hint="default" w:ascii="Times New Roman" w:hAnsi="Times New Roman" w:eastAsia="仿宋_GB2312" w:cs="Times New Roman"/>
          <w:sz w:val="32"/>
          <w:szCs w:val="32"/>
          <w:lang w:eastAsia="zh-CN"/>
        </w:rPr>
        <w:t>提供检测报告、原始记录表格（复印件）的纸质版</w:t>
      </w:r>
      <w:r>
        <w:rPr>
          <w:rFonts w:hint="eastAsia" w:ascii="Times New Roman" w:hAnsi="Times New Roman" w:eastAsia="仿宋_GB2312" w:cs="Times New Roman"/>
          <w:sz w:val="32"/>
          <w:szCs w:val="32"/>
          <w:lang w:val="en-US" w:eastAsia="zh-CN"/>
        </w:rPr>
        <w:t>及</w:t>
      </w:r>
      <w:r>
        <w:rPr>
          <w:rFonts w:hint="default" w:ascii="Times New Roman" w:hAnsi="Times New Roman" w:eastAsia="仿宋_GB2312" w:cs="Times New Roman"/>
          <w:sz w:val="32"/>
          <w:szCs w:val="32"/>
          <w:lang w:eastAsia="zh-CN"/>
        </w:rPr>
        <w:t>电子文件，以及现场采样照片等相关资料</w:t>
      </w:r>
      <w:r>
        <w:rPr>
          <w:rFonts w:hint="eastAsia" w:ascii="Times New Roman" w:hAnsi="Times New Roman" w:eastAsia="仿宋_GB2312" w:cs="Times New Roman"/>
          <w:sz w:val="32"/>
          <w:szCs w:val="32"/>
          <w:lang w:eastAsia="zh-CN"/>
        </w:rPr>
        <w:t>。</w:t>
      </w:r>
    </w:p>
    <w:p w14:paraId="64ED8D9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五）采购人将不定期开展现场质量监督或以盲样考核方式保证监测质量，受委托检测机构不得拒绝。如质量考核结果不合格，受委托机构应开展自查并重新开展当期样品监测，所产生费用由受委托检测机构自行承担。</w:t>
      </w:r>
    </w:p>
    <w:p w14:paraId="2D1694A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rPr>
          <w:rFonts w:hint="eastAsia" w:ascii="国标黑体" w:hAnsi="国标黑体" w:eastAsia="国标黑体" w:cs="国标黑体"/>
          <w:b w:val="0"/>
          <w:bCs/>
          <w:color w:val="auto"/>
          <w:kern w:val="0"/>
          <w:sz w:val="32"/>
          <w:szCs w:val="32"/>
          <w:lang w:val="en-US" w:eastAsia="zh-CN" w:bidi="ar-SA"/>
        </w:rPr>
      </w:pPr>
      <w:r>
        <w:rPr>
          <w:rFonts w:hint="eastAsia" w:ascii="国标黑体" w:hAnsi="国标黑体" w:eastAsia="国标黑体" w:cs="国标黑体"/>
          <w:b w:val="0"/>
          <w:bCs/>
          <w:color w:val="auto"/>
          <w:kern w:val="0"/>
          <w:sz w:val="32"/>
          <w:szCs w:val="32"/>
          <w:lang w:val="en-US" w:eastAsia="zh-CN" w:bidi="ar-SA"/>
        </w:rPr>
        <w:t>四、报价要求</w:t>
      </w:r>
    </w:p>
    <w:p w14:paraId="5F432A00">
      <w:pPr>
        <w:keepNext w:val="0"/>
        <w:keepLines w:val="0"/>
        <w:widowControl w:val="0"/>
        <w:suppressLineNumbers w:val="0"/>
        <w:spacing w:before="0" w:beforeAutospacing="0" w:after="0" w:afterAutospacing="0"/>
        <w:ind w:left="0" w:right="0" w:firstLine="640"/>
        <w:jc w:val="both"/>
        <w:rPr>
          <w:rFonts w:hint="eastAsia" w:ascii="Times New Roman" w:hAnsi="Times New Roman" w:eastAsia="仿宋_GB2312" w:cs="仿宋_GB2312"/>
          <w:kern w:val="2"/>
          <w:sz w:val="32"/>
          <w:szCs w:val="32"/>
          <w:lang w:val="en-US" w:eastAsia="zh-CN" w:bidi="ar"/>
        </w:rPr>
      </w:pPr>
      <w:r>
        <w:rPr>
          <w:rFonts w:hint="eastAsia" w:ascii="Times New Roman" w:hAnsi="Times New Roman" w:eastAsia="仿宋_GB2312" w:cs="仿宋_GB2312"/>
          <w:kern w:val="2"/>
          <w:sz w:val="32"/>
          <w:szCs w:val="32"/>
          <w:lang w:val="en-US" w:eastAsia="zh-CN" w:bidi="ar"/>
        </w:rPr>
        <w:t>以广东省环境监测协会《关于发布〈广东省环境监测行业指导价〉的通知》（粤环监协〔2018〕11号）收费标准</w:t>
      </w:r>
      <w:r>
        <w:rPr>
          <w:rFonts w:hint="eastAsia" w:ascii="Times New Roman" w:hAnsi="Times New Roman" w:eastAsia="仿宋_GB2312" w:cs="仿宋_GB2312"/>
          <w:kern w:val="2"/>
          <w:sz w:val="32"/>
          <w:szCs w:val="32"/>
          <w:u w:val="none"/>
          <w:lang w:val="en-US" w:eastAsia="zh-CN" w:bidi="ar"/>
        </w:rPr>
        <w:t>（以下简称参考价）作为基准价</w:t>
      </w:r>
      <w:r>
        <w:rPr>
          <w:rFonts w:hint="eastAsia" w:ascii="Times New Roman" w:hAnsi="Times New Roman" w:eastAsia="仿宋_GB2312" w:cs="仿宋_GB2312"/>
          <w:kern w:val="2"/>
          <w:sz w:val="32"/>
          <w:szCs w:val="32"/>
          <w:lang w:val="en-US" w:eastAsia="zh-CN" w:bidi="ar"/>
        </w:rPr>
        <w:t>，按折扣率方式报价，报价精确到小数点后1位，如“90.1%”。</w:t>
      </w:r>
    </w:p>
    <w:p w14:paraId="60EABCDE">
      <w:pPr>
        <w:keepNext w:val="0"/>
        <w:keepLines w:val="0"/>
        <w:widowControl w:val="0"/>
        <w:suppressLineNumbers w:val="0"/>
        <w:spacing w:before="0" w:beforeAutospacing="0" w:after="0" w:afterAutospacing="0"/>
        <w:ind w:right="0" w:firstLine="640" w:firstLineChars="200"/>
        <w:jc w:val="both"/>
        <w:rPr>
          <w:rFonts w:hint="eastAsia" w:ascii="Times New Roman" w:hAnsi="Times New Roman" w:eastAsia="仿宋_GB2312" w:cs="仿宋_GB2312"/>
          <w:kern w:val="2"/>
          <w:sz w:val="32"/>
          <w:szCs w:val="32"/>
          <w:lang w:val="en-US" w:eastAsia="zh-CN" w:bidi="ar"/>
        </w:rPr>
      </w:pPr>
      <w:r>
        <w:rPr>
          <w:rFonts w:hint="eastAsia" w:ascii="Times New Roman" w:hAnsi="Times New Roman" w:eastAsia="仿宋_GB2312" w:cs="仿宋_GB2312"/>
          <w:kern w:val="2"/>
          <w:sz w:val="32"/>
          <w:szCs w:val="32"/>
          <w:lang w:val="en-US" w:eastAsia="zh-CN" w:bidi="ar"/>
        </w:rPr>
        <w:t>响应折扣率有效范围为0%（不含）-100%（含），且响应折扣率是固定唯一，不得为负数。凡超过有效范围的折扣率均视为无效报价。折扣率计算公式如下：</w:t>
      </w:r>
    </w:p>
    <w:p w14:paraId="7C6F8834">
      <w:pPr>
        <w:keepNext w:val="0"/>
        <w:keepLines w:val="0"/>
        <w:widowControl w:val="0"/>
        <w:suppressLineNumbers w:val="0"/>
        <w:spacing w:before="0" w:beforeAutospacing="0" w:after="0" w:afterAutospacing="0"/>
        <w:ind w:right="0" w:firstLine="1920" w:firstLineChars="600"/>
        <w:jc w:val="both"/>
        <w:rPr>
          <w:rFonts w:hint="eastAsia" w:ascii="Times New Roman" w:hAnsi="Times New Roman" w:eastAsia="仿宋_GB2312" w:cs="仿宋_GB2312"/>
          <w:kern w:val="2"/>
          <w:sz w:val="32"/>
          <w:szCs w:val="32"/>
          <w:lang w:val="en-US" w:eastAsia="zh-CN" w:bidi="ar"/>
        </w:rPr>
      </w:pPr>
      <w:r>
        <w:rPr>
          <w:rFonts w:hint="eastAsia" w:ascii="Times New Roman" w:hAnsi="Times New Roman" w:eastAsia="仿宋_GB2312" w:cs="仿宋_GB2312"/>
          <w:kern w:val="2"/>
          <w:sz w:val="32"/>
          <w:szCs w:val="32"/>
          <w:lang w:val="en-US" w:eastAsia="zh-CN" w:bidi="ar"/>
        </w:rPr>
        <w:t>折扣率=投标价÷基准价×100%</w:t>
      </w:r>
    </w:p>
    <w:p w14:paraId="72FB15E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rPr>
          <w:rFonts w:hint="eastAsia" w:ascii="国标黑体" w:hAnsi="国标黑体" w:eastAsia="国标黑体" w:cs="国标黑体"/>
          <w:b w:val="0"/>
          <w:bCs/>
          <w:color w:val="auto"/>
          <w:kern w:val="0"/>
          <w:sz w:val="32"/>
          <w:szCs w:val="32"/>
          <w:lang w:val="en-US" w:eastAsia="zh-CN" w:bidi="ar-SA"/>
        </w:rPr>
      </w:pPr>
      <w:r>
        <w:rPr>
          <w:rFonts w:hint="eastAsia" w:ascii="国标黑体" w:hAnsi="国标黑体" w:eastAsia="国标黑体" w:cs="国标黑体"/>
          <w:b w:val="0"/>
          <w:bCs/>
          <w:color w:val="auto"/>
          <w:kern w:val="0"/>
          <w:sz w:val="32"/>
          <w:szCs w:val="32"/>
          <w:lang w:val="en-US" w:eastAsia="zh-CN" w:bidi="ar-SA"/>
        </w:rPr>
        <w:t>五、费用结算及付款方式</w:t>
      </w:r>
    </w:p>
    <w:p w14:paraId="5B50E8C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（一）</w:t>
      </w:r>
      <w:r>
        <w:rPr>
          <w:rFonts w:hint="eastAsia" w:ascii="仿宋" w:hAnsi="仿宋" w:eastAsia="仿宋" w:cs="仿宋"/>
          <w:b w:val="0"/>
          <w:bCs w:val="0"/>
          <w:sz w:val="32"/>
          <w:szCs w:val="32"/>
          <w:lang w:val="en-US" w:eastAsia="zh-Hans"/>
        </w:rPr>
        <w:t>以实际样品个数及项目结算</w:t>
      </w:r>
      <w:r>
        <w:rPr>
          <w:rFonts w:hint="eastAsia" w:ascii="仿宋" w:hAnsi="仿宋" w:eastAsia="仿宋" w:cs="仿宋"/>
          <w:b w:val="0"/>
          <w:bCs w:val="0"/>
          <w:sz w:val="32"/>
          <w:szCs w:val="32"/>
          <w:lang w:val="en-US" w:eastAsia="zh-CN"/>
        </w:rPr>
        <w:t>，计算公式如下：</w:t>
      </w:r>
    </w:p>
    <w:p w14:paraId="7B39F31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center"/>
        <w:rPr>
          <w:rFonts w:hint="eastAsia" w:ascii="仿宋" w:hAnsi="仿宋" w:eastAsia="仿宋" w:cs="仿宋"/>
          <w:b w:val="0"/>
          <w:bCs w:val="0"/>
          <w:sz w:val="32"/>
          <w:szCs w:val="32"/>
          <w:lang w:val="en-US" w:eastAsia="zh-Hans"/>
        </w:rPr>
      </w:pPr>
      <w:r>
        <w:rPr>
          <w:rFonts w:hint="eastAsia" w:ascii="仿宋" w:hAnsi="仿宋" w:eastAsia="仿宋" w:cs="仿宋"/>
          <w:b w:val="0"/>
          <w:bCs w:val="0"/>
          <w:sz w:val="32"/>
          <w:szCs w:val="32"/>
          <w:lang w:val="en-US" w:eastAsia="zh-Hans"/>
        </w:rPr>
        <w:t>结算价=∑项目×数</w:t>
      </w:r>
      <w:r>
        <w:rPr>
          <w:rFonts w:hint="eastAsia" w:ascii="仿宋" w:hAnsi="仿宋" w:eastAsia="仿宋" w:cs="仿宋"/>
          <w:b w:val="0"/>
          <w:bCs w:val="0"/>
          <w:sz w:val="32"/>
          <w:szCs w:val="32"/>
          <w:lang w:val="en-US" w:eastAsia="zh-CN"/>
        </w:rPr>
        <w:t>量</w:t>
      </w:r>
      <w:r>
        <w:rPr>
          <w:rFonts w:hint="eastAsia" w:ascii="仿宋" w:hAnsi="仿宋" w:eastAsia="仿宋" w:cs="仿宋"/>
          <w:b w:val="0"/>
          <w:bCs w:val="0"/>
          <w:sz w:val="32"/>
          <w:szCs w:val="32"/>
          <w:lang w:val="en-US" w:eastAsia="zh-Hans"/>
        </w:rPr>
        <w:t>×</w:t>
      </w:r>
      <w:r>
        <w:rPr>
          <w:rFonts w:hint="eastAsia" w:ascii="仿宋" w:hAnsi="仿宋" w:eastAsia="仿宋" w:cs="仿宋"/>
          <w:b w:val="0"/>
          <w:bCs w:val="0"/>
          <w:sz w:val="32"/>
          <w:szCs w:val="32"/>
          <w:lang w:val="en-US" w:eastAsia="zh-CN"/>
        </w:rPr>
        <w:t>基准价</w:t>
      </w:r>
      <w:r>
        <w:rPr>
          <w:rFonts w:hint="eastAsia" w:ascii="仿宋" w:hAnsi="仿宋" w:eastAsia="仿宋" w:cs="仿宋"/>
          <w:b w:val="0"/>
          <w:bCs w:val="0"/>
          <w:sz w:val="32"/>
          <w:szCs w:val="32"/>
          <w:lang w:val="en-US" w:eastAsia="zh-Hans"/>
        </w:rPr>
        <w:t>×成交折扣率</w:t>
      </w:r>
    </w:p>
    <w:p w14:paraId="7CC8C836">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638" w:leftChars="304" w:firstLine="0" w:firstLineChars="0"/>
        <w:jc w:val="both"/>
        <w:rPr>
          <w:rFonts w:hint="eastAsia" w:ascii="Times New Roman" w:hAnsi="Times New Roman" w:eastAsia="仿宋_GB2312" w:cs="仿宋_GB2312"/>
          <w:kern w:val="2"/>
          <w:sz w:val="32"/>
          <w:szCs w:val="32"/>
          <w:lang w:val="en-US" w:eastAsia="zh-CN" w:bidi="ar"/>
        </w:rPr>
      </w:pPr>
      <w:r>
        <w:rPr>
          <w:rFonts w:hint="eastAsia" w:ascii="仿宋" w:hAnsi="仿宋" w:eastAsia="仿宋" w:cs="仿宋"/>
          <w:b w:val="0"/>
          <w:bCs w:val="0"/>
          <w:sz w:val="32"/>
          <w:szCs w:val="32"/>
          <w:lang w:val="en-US" w:eastAsia="zh-CN"/>
        </w:rPr>
        <w:t>超出</w:t>
      </w:r>
      <w:r>
        <w:rPr>
          <w:rFonts w:hint="eastAsia" w:ascii="Times New Roman" w:hAnsi="Times New Roman" w:eastAsia="仿宋_GB2312" w:cs="仿宋_GB2312"/>
          <w:kern w:val="2"/>
          <w:sz w:val="32"/>
          <w:szCs w:val="32"/>
          <w:lang w:val="en-US" w:eastAsia="zh-CN" w:bidi="ar"/>
        </w:rPr>
        <w:t>广东省环境监测协会《关于发布〈广东省环</w:t>
      </w:r>
    </w:p>
    <w:p w14:paraId="157E8A2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rPr>
          <w:rFonts w:hint="eastAsia" w:ascii="仿宋" w:hAnsi="仿宋" w:eastAsia="仿宋" w:cs="仿宋"/>
          <w:b w:val="0"/>
          <w:bCs w:val="0"/>
          <w:sz w:val="32"/>
          <w:szCs w:val="32"/>
          <w:lang w:val="en-US" w:eastAsia="zh-CN"/>
        </w:rPr>
      </w:pPr>
      <w:r>
        <w:rPr>
          <w:rFonts w:hint="eastAsia" w:ascii="Times New Roman" w:hAnsi="Times New Roman" w:eastAsia="仿宋_GB2312" w:cs="仿宋_GB2312"/>
          <w:kern w:val="2"/>
          <w:sz w:val="32"/>
          <w:szCs w:val="32"/>
          <w:lang w:val="en-US" w:eastAsia="zh-CN" w:bidi="ar"/>
        </w:rPr>
        <w:t>境监测行业指导价〉的通知》（粤环监协〔2018〕11号）</w:t>
      </w:r>
      <w:r>
        <w:rPr>
          <w:rFonts w:hint="eastAsia" w:ascii="仿宋" w:hAnsi="仿宋" w:eastAsia="仿宋" w:cs="仿宋"/>
          <w:b w:val="0"/>
          <w:bCs w:val="0"/>
          <w:sz w:val="32"/>
          <w:szCs w:val="32"/>
          <w:lang w:val="en-US" w:eastAsia="zh-CN"/>
        </w:rPr>
        <w:t>范围的项目收费由双方协商决定。</w:t>
      </w:r>
    </w:p>
    <w:p w14:paraId="535910D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38" w:leftChars="304" w:firstLine="0" w:firstLineChars="0"/>
        <w:jc w:val="both"/>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（三）支付程序</w:t>
      </w:r>
    </w:p>
    <w:p w14:paraId="321953C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rPr>
          <w:rFonts w:hint="eastAsia" w:ascii="仿宋" w:hAnsi="仿宋" w:eastAsia="仿宋" w:cs="仿宋"/>
          <w:b w:val="0"/>
          <w:bCs w:val="0"/>
          <w:sz w:val="32"/>
          <w:szCs w:val="32"/>
          <w:lang w:val="en-US" w:eastAsia="zh-Hans"/>
        </w:rPr>
      </w:pPr>
      <w:r>
        <w:rPr>
          <w:rFonts w:hint="eastAsia" w:ascii="仿宋" w:hAnsi="仿宋" w:eastAsia="仿宋" w:cs="仿宋"/>
          <w:b w:val="0"/>
          <w:bCs w:val="0"/>
          <w:sz w:val="32"/>
          <w:szCs w:val="32"/>
          <w:lang w:val="en-US" w:eastAsia="zh-Hans"/>
        </w:rPr>
        <w:t>由采购人按下列程序付款：</w:t>
      </w:r>
    </w:p>
    <w:p w14:paraId="67EDC01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rPr>
          <w:rFonts w:hint="eastAsia" w:ascii="方正仿宋_GB2312" w:hAnsi="方正仿宋_GB2312" w:eastAsia="方正仿宋_GB2312" w:cs="方正仿宋_GB2312"/>
          <w:b w:val="0"/>
          <w:bCs w:val="0"/>
          <w:sz w:val="32"/>
          <w:szCs w:val="32"/>
          <w:lang w:val="en-US" w:eastAsia="zh-Hans"/>
        </w:rPr>
      </w:pPr>
      <w:r>
        <w:rPr>
          <w:rFonts w:hint="eastAsia" w:ascii="方正仿宋_GB2312" w:hAnsi="方正仿宋_GB2312" w:eastAsia="方正仿宋_GB2312" w:cs="方正仿宋_GB2312"/>
          <w:b w:val="0"/>
          <w:bCs w:val="0"/>
          <w:sz w:val="32"/>
          <w:szCs w:val="32"/>
          <w:lang w:val="en-US" w:eastAsia="zh-Hans"/>
        </w:rPr>
        <w:t>1期：合同签</w:t>
      </w:r>
      <w:r>
        <w:rPr>
          <w:rFonts w:hint="eastAsia" w:ascii="方正仿宋_GB2312" w:hAnsi="方正仿宋_GB2312" w:eastAsia="方正仿宋_GB2312" w:cs="方正仿宋_GB2312"/>
          <w:b w:val="0"/>
          <w:bCs w:val="0"/>
          <w:sz w:val="32"/>
          <w:szCs w:val="32"/>
          <w:lang w:val="en-US" w:eastAsia="zh-CN"/>
        </w:rPr>
        <w:t>订</w:t>
      </w:r>
      <w:r>
        <w:rPr>
          <w:rFonts w:hint="eastAsia" w:ascii="方正仿宋_GB2312" w:hAnsi="方正仿宋_GB2312" w:eastAsia="方正仿宋_GB2312" w:cs="方正仿宋_GB2312"/>
          <w:b w:val="0"/>
          <w:bCs w:val="0"/>
          <w:sz w:val="32"/>
          <w:szCs w:val="32"/>
          <w:lang w:val="en-US" w:eastAsia="zh-Hans"/>
        </w:rPr>
        <w:t>并收到成交供应商出具的发票后，采购人于</w:t>
      </w:r>
      <w:r>
        <w:rPr>
          <w:rFonts w:hint="eastAsia" w:ascii="方正仿宋_GB2312" w:hAnsi="方正仿宋_GB2312" w:eastAsia="方正仿宋_GB2312" w:cs="方正仿宋_GB2312"/>
          <w:b w:val="0"/>
          <w:bCs w:val="0"/>
          <w:sz w:val="32"/>
          <w:szCs w:val="32"/>
          <w:lang w:val="en-US" w:eastAsia="zh-CN"/>
        </w:rPr>
        <w:t>10</w:t>
      </w:r>
      <w:r>
        <w:rPr>
          <w:rFonts w:hint="eastAsia" w:ascii="方正仿宋_GB2312" w:hAnsi="方正仿宋_GB2312" w:eastAsia="方正仿宋_GB2312" w:cs="方正仿宋_GB2312"/>
          <w:b w:val="0"/>
          <w:bCs w:val="0"/>
          <w:sz w:val="32"/>
          <w:szCs w:val="32"/>
          <w:lang w:val="en-US" w:eastAsia="zh-Hans"/>
        </w:rPr>
        <w:t>个工作日内支付</w:t>
      </w:r>
      <w:r>
        <w:rPr>
          <w:rFonts w:hint="eastAsia" w:ascii="方正仿宋_GB2312" w:hAnsi="方正仿宋_GB2312" w:eastAsia="方正仿宋_GB2312" w:cs="方正仿宋_GB2312"/>
          <w:b w:val="0"/>
          <w:bCs w:val="0"/>
          <w:sz w:val="32"/>
          <w:szCs w:val="32"/>
          <w:lang w:val="en-US" w:eastAsia="zh-CN"/>
        </w:rPr>
        <w:t>预算</w:t>
      </w:r>
      <w:r>
        <w:rPr>
          <w:rFonts w:hint="eastAsia" w:ascii="方正仿宋_GB2312" w:hAnsi="方正仿宋_GB2312" w:eastAsia="方正仿宋_GB2312" w:cs="方正仿宋_GB2312"/>
          <w:b w:val="0"/>
          <w:bCs w:val="0"/>
          <w:sz w:val="32"/>
          <w:szCs w:val="32"/>
          <w:lang w:val="en-US" w:eastAsia="zh-Hans"/>
        </w:rPr>
        <w:t>总金额</w:t>
      </w:r>
      <w:r>
        <w:rPr>
          <w:rFonts w:hint="eastAsia" w:ascii="方正仿宋_GB2312" w:hAnsi="方正仿宋_GB2312" w:eastAsia="方正仿宋_GB2312" w:cs="方正仿宋_GB2312"/>
          <w:b w:val="0"/>
          <w:bCs w:val="0"/>
          <w:sz w:val="32"/>
          <w:szCs w:val="32"/>
          <w:lang w:val="en-US" w:eastAsia="zh-CN"/>
        </w:rPr>
        <w:t>4</w:t>
      </w:r>
      <w:r>
        <w:rPr>
          <w:rFonts w:hint="eastAsia" w:ascii="方正仿宋_GB2312" w:hAnsi="方正仿宋_GB2312" w:eastAsia="方正仿宋_GB2312" w:cs="方正仿宋_GB2312"/>
          <w:b w:val="0"/>
          <w:bCs w:val="0"/>
          <w:sz w:val="32"/>
          <w:szCs w:val="32"/>
          <w:lang w:val="en-US" w:eastAsia="zh-Hans"/>
        </w:rPr>
        <w:t>0%的</w:t>
      </w:r>
      <w:r>
        <w:rPr>
          <w:rFonts w:hint="eastAsia" w:ascii="方正仿宋_GB2312" w:hAnsi="方正仿宋_GB2312" w:eastAsia="方正仿宋_GB2312" w:cs="方正仿宋_GB2312"/>
          <w:b w:val="0"/>
          <w:bCs w:val="0"/>
          <w:sz w:val="32"/>
          <w:szCs w:val="32"/>
          <w:lang w:val="en-US" w:eastAsia="zh-CN"/>
        </w:rPr>
        <w:t>预付款（即</w:t>
      </w:r>
      <w:r>
        <w:rPr>
          <w:rFonts w:hint="default" w:ascii="Times New Roman" w:hAnsi="Times New Roman" w:eastAsia="方正仿宋_GB2312" w:cs="Times New Roman"/>
          <w:b w:val="0"/>
          <w:bCs w:val="0"/>
          <w:sz w:val="32"/>
          <w:szCs w:val="32"/>
          <w:lang w:val="en-US" w:eastAsia="zh-CN"/>
        </w:rPr>
        <w:t>¥</w:t>
      </w:r>
      <w:r>
        <w:rPr>
          <w:rFonts w:hint="eastAsia" w:ascii="方正仿宋_GB2312" w:hAnsi="方正仿宋_GB2312" w:eastAsia="方正仿宋_GB2312" w:cs="方正仿宋_GB2312"/>
          <w:b w:val="0"/>
          <w:bCs w:val="0"/>
          <w:sz w:val="32"/>
          <w:szCs w:val="32"/>
          <w:lang w:val="en-US" w:eastAsia="zh-CN"/>
        </w:rPr>
        <w:t>48000.00）</w:t>
      </w:r>
      <w:r>
        <w:rPr>
          <w:rFonts w:hint="eastAsia" w:ascii="方正仿宋_GB2312" w:hAnsi="方正仿宋_GB2312" w:eastAsia="方正仿宋_GB2312" w:cs="方正仿宋_GB2312"/>
          <w:b w:val="0"/>
          <w:bCs w:val="0"/>
          <w:sz w:val="32"/>
          <w:szCs w:val="32"/>
          <w:lang w:val="en-US" w:eastAsia="zh-Hans"/>
        </w:rPr>
        <w:t>。</w:t>
      </w:r>
    </w:p>
    <w:p w14:paraId="16680EE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rPr>
          <w:rFonts w:hint="eastAsia" w:ascii="方正仿宋_GB2312" w:hAnsi="方正仿宋_GB2312" w:eastAsia="方正仿宋_GB2312" w:cs="方正仿宋_GB2312"/>
          <w:b w:val="0"/>
          <w:bCs w:val="0"/>
          <w:sz w:val="32"/>
          <w:szCs w:val="32"/>
          <w:lang w:val="en-US" w:eastAsia="zh-Hans"/>
        </w:rPr>
      </w:pPr>
      <w:r>
        <w:rPr>
          <w:rFonts w:hint="eastAsia" w:ascii="方正仿宋_GB2312" w:hAnsi="方正仿宋_GB2312" w:eastAsia="方正仿宋_GB2312" w:cs="方正仿宋_GB2312"/>
          <w:b w:val="0"/>
          <w:bCs w:val="0"/>
          <w:sz w:val="32"/>
          <w:szCs w:val="32"/>
          <w:lang w:val="en-US" w:eastAsia="zh-Hans"/>
        </w:rPr>
        <w:t>2期：</w:t>
      </w:r>
      <w:r>
        <w:rPr>
          <w:rFonts w:hint="eastAsia" w:ascii="方正仿宋_GB2312" w:hAnsi="方正仿宋_GB2312" w:eastAsia="方正仿宋_GB2312" w:cs="方正仿宋_GB2312"/>
          <w:b w:val="0"/>
          <w:bCs w:val="0"/>
          <w:sz w:val="32"/>
          <w:szCs w:val="32"/>
          <w:lang w:val="en-US" w:eastAsia="zh-CN"/>
        </w:rPr>
        <w:t>项目结束通过验收并收到成交供应商出具的发票后，</w:t>
      </w:r>
      <w:r>
        <w:rPr>
          <w:rFonts w:hint="eastAsia" w:ascii="方正仿宋_GB2312" w:hAnsi="方正仿宋_GB2312" w:eastAsia="方正仿宋_GB2312" w:cs="方正仿宋_GB2312"/>
          <w:b w:val="0"/>
          <w:bCs w:val="0"/>
          <w:sz w:val="32"/>
          <w:szCs w:val="32"/>
          <w:lang w:val="en-US" w:eastAsia="zh-Hans"/>
        </w:rPr>
        <w:t>采购人于</w:t>
      </w:r>
      <w:r>
        <w:rPr>
          <w:rFonts w:hint="eastAsia" w:ascii="方正仿宋_GB2312" w:hAnsi="方正仿宋_GB2312" w:eastAsia="方正仿宋_GB2312" w:cs="方正仿宋_GB2312"/>
          <w:b w:val="0"/>
          <w:bCs w:val="0"/>
          <w:sz w:val="32"/>
          <w:szCs w:val="32"/>
          <w:lang w:val="en-US" w:eastAsia="zh-CN"/>
        </w:rPr>
        <w:t>10</w:t>
      </w:r>
      <w:r>
        <w:rPr>
          <w:rFonts w:hint="eastAsia" w:ascii="方正仿宋_GB2312" w:hAnsi="方正仿宋_GB2312" w:eastAsia="方正仿宋_GB2312" w:cs="方正仿宋_GB2312"/>
          <w:b w:val="0"/>
          <w:bCs w:val="0"/>
          <w:sz w:val="32"/>
          <w:szCs w:val="32"/>
          <w:lang w:val="en-US" w:eastAsia="zh-Hans"/>
        </w:rPr>
        <w:t>个工作日支付</w:t>
      </w:r>
      <w:r>
        <w:rPr>
          <w:rFonts w:hint="eastAsia" w:ascii="方正仿宋_GB2312" w:hAnsi="方正仿宋_GB2312" w:eastAsia="方正仿宋_GB2312" w:cs="方正仿宋_GB2312"/>
          <w:b w:val="0"/>
          <w:bCs w:val="0"/>
          <w:sz w:val="32"/>
          <w:szCs w:val="32"/>
          <w:lang w:val="en-US" w:eastAsia="zh-CN"/>
        </w:rPr>
        <w:t>尾款</w:t>
      </w:r>
      <w:r>
        <w:rPr>
          <w:rFonts w:hint="eastAsia" w:ascii="方正仿宋_GB2312" w:hAnsi="方正仿宋_GB2312" w:eastAsia="方正仿宋_GB2312" w:cs="方正仿宋_GB2312"/>
          <w:b w:val="0"/>
          <w:bCs w:val="0"/>
          <w:sz w:val="32"/>
          <w:szCs w:val="32"/>
          <w:lang w:val="en-US" w:eastAsia="zh-Hans"/>
        </w:rPr>
        <w:t>。</w:t>
      </w:r>
    </w:p>
    <w:p w14:paraId="0AA7DB4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rPr>
          <w:rFonts w:hint="default" w:eastAsia="仿宋"/>
          <w:lang w:val="en-US" w:eastAsia="zh-CN"/>
        </w:rPr>
      </w:pPr>
      <w:r>
        <w:rPr>
          <w:rFonts w:hint="eastAsia" w:ascii="仿宋" w:hAnsi="仿宋" w:eastAsia="仿宋" w:cs="仿宋"/>
          <w:b w:val="0"/>
          <w:bCs w:val="0"/>
          <w:sz w:val="32"/>
          <w:szCs w:val="32"/>
          <w:lang w:val="en-US" w:eastAsia="zh-Hans"/>
        </w:rPr>
        <w:t>注：①款项支付时，</w:t>
      </w:r>
      <w:r>
        <w:rPr>
          <w:rFonts w:hint="eastAsia" w:ascii="仿宋" w:hAnsi="仿宋" w:eastAsia="仿宋" w:cs="仿宋"/>
          <w:b w:val="0"/>
          <w:bCs w:val="0"/>
          <w:sz w:val="32"/>
          <w:szCs w:val="32"/>
          <w:lang w:val="en-US" w:eastAsia="zh-CN"/>
        </w:rPr>
        <w:t>成交供应商</w:t>
      </w:r>
      <w:r>
        <w:rPr>
          <w:rFonts w:hint="eastAsia" w:ascii="仿宋" w:hAnsi="仿宋" w:eastAsia="仿宋" w:cs="仿宋"/>
          <w:b w:val="0"/>
          <w:bCs w:val="0"/>
          <w:sz w:val="32"/>
          <w:szCs w:val="32"/>
          <w:lang w:val="en-US" w:eastAsia="zh-Hans"/>
        </w:rPr>
        <w:t>同时向采购人提供相应金额的增值税发票。②付款方式：银行转账支付，</w:t>
      </w:r>
      <w:r>
        <w:rPr>
          <w:rFonts w:hint="eastAsia" w:ascii="仿宋" w:hAnsi="仿宋" w:eastAsia="仿宋" w:cs="仿宋"/>
          <w:b w:val="0"/>
          <w:bCs w:val="0"/>
          <w:sz w:val="32"/>
          <w:szCs w:val="32"/>
          <w:lang w:val="en-US" w:eastAsia="zh-CN"/>
        </w:rPr>
        <w:t>成交供应商</w:t>
      </w:r>
      <w:r>
        <w:rPr>
          <w:rFonts w:hint="eastAsia" w:ascii="仿宋" w:hAnsi="仿宋" w:eastAsia="仿宋" w:cs="仿宋"/>
          <w:b w:val="0"/>
          <w:bCs w:val="0"/>
          <w:sz w:val="32"/>
          <w:szCs w:val="32"/>
          <w:lang w:val="en-US" w:eastAsia="zh-Hans"/>
        </w:rPr>
        <w:t>对自行提供的银行账户信息负责，如该账户无法使用或无法正常接收款项的，均由</w:t>
      </w:r>
      <w:r>
        <w:rPr>
          <w:rFonts w:hint="eastAsia" w:ascii="仿宋" w:hAnsi="仿宋" w:eastAsia="仿宋" w:cs="仿宋"/>
          <w:b w:val="0"/>
          <w:bCs w:val="0"/>
          <w:sz w:val="32"/>
          <w:szCs w:val="32"/>
          <w:lang w:val="en-US" w:eastAsia="zh-CN"/>
        </w:rPr>
        <w:t>成交供应商</w:t>
      </w:r>
      <w:r>
        <w:rPr>
          <w:rFonts w:hint="eastAsia" w:ascii="仿宋" w:hAnsi="仿宋" w:eastAsia="仿宋" w:cs="仿宋"/>
          <w:b w:val="0"/>
          <w:bCs w:val="0"/>
          <w:sz w:val="32"/>
          <w:szCs w:val="32"/>
          <w:lang w:val="en-US" w:eastAsia="zh-Hans"/>
        </w:rPr>
        <w:t>自行承担责任。③</w:t>
      </w:r>
      <w:r>
        <w:rPr>
          <w:rFonts w:hint="eastAsia" w:ascii="仿宋" w:hAnsi="仿宋" w:eastAsia="仿宋" w:cs="仿宋"/>
          <w:b w:val="0"/>
          <w:bCs w:val="0"/>
          <w:sz w:val="32"/>
          <w:szCs w:val="32"/>
          <w:lang w:val="en-US" w:eastAsia="zh-CN"/>
        </w:rPr>
        <w:t>本项目使用的是财政资金，采购人</w:t>
      </w:r>
      <w:r>
        <w:rPr>
          <w:rFonts w:hint="eastAsia" w:ascii="仿宋" w:hAnsi="仿宋" w:eastAsia="仿宋" w:cs="仿宋"/>
          <w:b w:val="0"/>
          <w:bCs w:val="0"/>
          <w:sz w:val="32"/>
          <w:szCs w:val="32"/>
          <w:lang w:val="en-US" w:eastAsia="zh-Hans"/>
        </w:rPr>
        <w:t>在财政资金到达后向财政支付部门提出办理申请支付手续</w:t>
      </w:r>
      <w:r>
        <w:rPr>
          <w:rFonts w:hint="eastAsia" w:ascii="仿宋" w:hAnsi="仿宋" w:eastAsia="仿宋" w:cs="仿宋"/>
          <w:b w:val="0"/>
          <w:bCs w:val="0"/>
          <w:sz w:val="32"/>
          <w:szCs w:val="32"/>
          <w:lang w:val="en-US" w:eastAsia="zh-CN"/>
        </w:rPr>
        <w:t>即</w:t>
      </w:r>
      <w:r>
        <w:rPr>
          <w:rFonts w:hint="eastAsia" w:ascii="仿宋" w:hAnsi="仿宋" w:eastAsia="仿宋" w:cs="仿宋"/>
          <w:b w:val="0"/>
          <w:bCs w:val="0"/>
          <w:sz w:val="32"/>
          <w:szCs w:val="32"/>
          <w:lang w:val="en-US" w:eastAsia="zh-Hans"/>
        </w:rPr>
        <w:t>视为已经按期支付，</w:t>
      </w:r>
      <w:r>
        <w:rPr>
          <w:rFonts w:hint="eastAsia" w:ascii="仿宋" w:hAnsi="仿宋" w:eastAsia="仿宋" w:cs="仿宋"/>
          <w:b w:val="0"/>
          <w:bCs w:val="0"/>
          <w:sz w:val="32"/>
          <w:szCs w:val="32"/>
          <w:lang w:val="en-US" w:eastAsia="zh-CN"/>
        </w:rPr>
        <w:t>成交供应商</w:t>
      </w:r>
      <w:r>
        <w:rPr>
          <w:rFonts w:hint="eastAsia" w:ascii="仿宋" w:hAnsi="仿宋" w:eastAsia="仿宋" w:cs="仿宋"/>
          <w:b w:val="0"/>
          <w:bCs w:val="0"/>
          <w:sz w:val="32"/>
          <w:szCs w:val="32"/>
          <w:lang w:val="en-US" w:eastAsia="zh-Hans"/>
        </w:rPr>
        <w:t>不得追究任何逾期支付的违约责任。</w:t>
      </w:r>
    </w:p>
    <w:p w14:paraId="2F10910A">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64" w:firstLineChars="200"/>
        <w:rPr>
          <w:rFonts w:hint="default" w:ascii="国标黑体" w:hAnsi="国标黑体" w:eastAsia="国标黑体" w:cs="国标黑体"/>
          <w:b w:val="0"/>
          <w:bCs w:val="0"/>
          <w:spacing w:val="6"/>
          <w:position w:val="1"/>
          <w:sz w:val="32"/>
          <w:szCs w:val="32"/>
          <w:lang w:val="en-US" w:eastAsia="zh-CN"/>
        </w:rPr>
      </w:pPr>
      <w:r>
        <w:rPr>
          <w:rFonts w:hint="eastAsia" w:ascii="国标黑体" w:hAnsi="国标黑体" w:eastAsia="国标黑体" w:cs="国标黑体"/>
          <w:b w:val="0"/>
          <w:bCs w:val="0"/>
          <w:spacing w:val="6"/>
          <w:position w:val="1"/>
          <w:sz w:val="32"/>
          <w:szCs w:val="32"/>
          <w:lang w:val="en-US" w:eastAsia="zh-CN"/>
        </w:rPr>
        <w:t>六</w:t>
      </w:r>
      <w:r>
        <w:rPr>
          <w:rFonts w:hint="default" w:ascii="国标黑体" w:hAnsi="国标黑体" w:eastAsia="国标黑体" w:cs="国标黑体"/>
          <w:b w:val="0"/>
          <w:bCs w:val="0"/>
          <w:spacing w:val="6"/>
          <w:position w:val="1"/>
          <w:sz w:val="32"/>
          <w:szCs w:val="32"/>
          <w:lang w:val="en-US" w:eastAsia="zh-CN"/>
        </w:rPr>
        <w:t>、</w:t>
      </w:r>
      <w:r>
        <w:rPr>
          <w:rFonts w:hint="eastAsia" w:ascii="国标黑体" w:hAnsi="国标黑体" w:eastAsia="国标黑体" w:cs="国标黑体"/>
          <w:b w:val="0"/>
          <w:bCs w:val="0"/>
          <w:spacing w:val="6"/>
          <w:position w:val="1"/>
          <w:sz w:val="32"/>
          <w:szCs w:val="32"/>
          <w:lang w:val="en-US" w:eastAsia="zh-CN"/>
        </w:rPr>
        <w:t>资格条件及材料要求</w:t>
      </w:r>
    </w:p>
    <w:p w14:paraId="1F4FDBC4">
      <w:pPr>
        <w:keepNext w:val="0"/>
        <w:keepLines w:val="0"/>
        <w:pageBreakBefore w:val="0"/>
        <w:overflowPunct/>
        <w:topLinePunct w:val="0"/>
        <w:autoSpaceDE w:val="0"/>
        <w:autoSpaceDN w:val="0"/>
        <w:bidi w:val="0"/>
        <w:adjustRightInd w:val="0"/>
        <w:spacing w:line="560" w:lineRule="exact"/>
        <w:ind w:firstLine="640" w:firstLineChars="200"/>
        <w:jc w:val="left"/>
        <w:rPr>
          <w:rFonts w:hint="eastAsia" w:ascii="仿宋_GB2312" w:eastAsia="仿宋_GB2312" w:cs="仿宋" w:hAnsiTheme="minorEastAsia"/>
          <w:color w:val="000000"/>
          <w:kern w:val="0"/>
          <w:sz w:val="32"/>
          <w:szCs w:val="32"/>
          <w:lang w:val="en-US" w:eastAsia="zh-CN"/>
        </w:rPr>
      </w:pPr>
      <w:r>
        <w:rPr>
          <w:rFonts w:hint="eastAsia" w:ascii="仿宋_GB2312" w:eastAsia="仿宋_GB2312" w:cs="仿宋" w:hAnsiTheme="minorEastAsia"/>
          <w:color w:val="000000"/>
          <w:kern w:val="0"/>
          <w:sz w:val="32"/>
          <w:szCs w:val="32"/>
          <w:lang w:val="en-US" w:eastAsia="zh-CN"/>
        </w:rPr>
        <w:t>（一）在中华人民共和国境内注册的法人或其他组织或自然人。（</w:t>
      </w:r>
      <w:r>
        <w:rPr>
          <w:rFonts w:hint="eastAsia" w:ascii="仿宋_GB2312" w:eastAsia="仿宋_GB2312" w:cs="仿宋" w:hAnsiTheme="minorEastAsia"/>
          <w:b/>
          <w:bCs/>
          <w:color w:val="000000"/>
          <w:kern w:val="0"/>
          <w:sz w:val="32"/>
          <w:szCs w:val="32"/>
          <w:lang w:val="en-US" w:eastAsia="zh-CN"/>
        </w:rPr>
        <w:t>提交有效的营业执照（或事业法人登记证或身份证等相关证明）副本复印件。分支机构投标的，须提供总公司和分公司营业执照副本复印件，总公司出具给分支机构的授权书</w:t>
      </w:r>
      <w:r>
        <w:rPr>
          <w:rFonts w:hint="eastAsia" w:ascii="仿宋_GB2312" w:eastAsia="仿宋_GB2312" w:cs="仿宋" w:hAnsiTheme="minorEastAsia"/>
          <w:color w:val="000000"/>
          <w:kern w:val="0"/>
          <w:sz w:val="32"/>
          <w:szCs w:val="32"/>
          <w:lang w:val="en-US" w:eastAsia="zh-CN"/>
        </w:rPr>
        <w:t>）</w:t>
      </w:r>
    </w:p>
    <w:p w14:paraId="6AF25A54">
      <w:pPr>
        <w:keepNext w:val="0"/>
        <w:keepLines w:val="0"/>
        <w:pageBreakBefore w:val="0"/>
        <w:wordWrap w:val="0"/>
        <w:overflowPunct/>
        <w:topLinePunct w:val="0"/>
        <w:autoSpaceDE w:val="0"/>
        <w:autoSpaceDN w:val="0"/>
        <w:bidi w:val="0"/>
        <w:adjustRightInd w:val="0"/>
        <w:spacing w:line="560" w:lineRule="exact"/>
        <w:ind w:firstLine="640" w:firstLineChars="200"/>
        <w:jc w:val="left"/>
        <w:rPr>
          <w:rFonts w:hint="eastAsia" w:ascii="仿宋_GB2312" w:eastAsia="仿宋_GB2312" w:cs="仿宋" w:hAnsiTheme="minorEastAsia"/>
          <w:color w:val="000000"/>
          <w:kern w:val="0"/>
          <w:sz w:val="32"/>
          <w:szCs w:val="32"/>
          <w:lang w:val="en-US" w:eastAsia="zh-CN"/>
        </w:rPr>
      </w:pPr>
      <w:r>
        <w:rPr>
          <w:rFonts w:hint="eastAsia" w:ascii="仿宋_GB2312" w:eastAsia="仿宋_GB2312" w:cs="仿宋" w:hAnsiTheme="minorEastAsia"/>
          <w:color w:val="000000"/>
          <w:kern w:val="0"/>
          <w:sz w:val="32"/>
          <w:szCs w:val="32"/>
          <w:lang w:val="en-US" w:eastAsia="zh-CN"/>
        </w:rPr>
        <w:t>（二）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w:t>
      </w:r>
      <w:r>
        <w:rPr>
          <w:rFonts w:hint="eastAsia" w:ascii="仿宋_GB2312" w:eastAsia="仿宋_GB2312" w:cs="仿宋" w:hAnsiTheme="minorEastAsia"/>
          <w:b/>
          <w:bCs/>
          <w:color w:val="000000"/>
          <w:kern w:val="0"/>
          <w:sz w:val="32"/>
          <w:szCs w:val="32"/>
          <w:lang w:val="en-US" w:eastAsia="zh-CN"/>
        </w:rPr>
        <w:t>以本公告发布之日后在“信用中国”网站（www.creditchina.gov.cn）及中国政府采购网（http://www.ccgp.gov.cn/）查询结果为准，如相关失信记录已失效，供应商需提供相关证明资料）查询结果为准，如相关失信记录已失效，供应商需提供相关证明资料</w:t>
      </w:r>
      <w:r>
        <w:rPr>
          <w:rFonts w:hint="eastAsia" w:ascii="仿宋_GB2312" w:eastAsia="仿宋_GB2312" w:cs="仿宋" w:hAnsiTheme="minorEastAsia"/>
          <w:color w:val="000000"/>
          <w:kern w:val="0"/>
          <w:sz w:val="32"/>
          <w:szCs w:val="32"/>
          <w:lang w:val="en-US" w:eastAsia="zh-CN"/>
        </w:rPr>
        <w:t>）。</w:t>
      </w:r>
    </w:p>
    <w:p w14:paraId="78C58823">
      <w:pPr>
        <w:keepNext w:val="0"/>
        <w:keepLines w:val="0"/>
        <w:pageBreakBefore w:val="0"/>
        <w:overflowPunct/>
        <w:topLinePunct w:val="0"/>
        <w:autoSpaceDE w:val="0"/>
        <w:autoSpaceDN w:val="0"/>
        <w:bidi w:val="0"/>
        <w:adjustRightInd w:val="0"/>
        <w:spacing w:line="560" w:lineRule="exact"/>
        <w:ind w:firstLine="640" w:firstLineChars="200"/>
        <w:jc w:val="left"/>
        <w:rPr>
          <w:rFonts w:hint="eastAsia" w:ascii="仿宋_GB2312" w:eastAsia="仿宋_GB2312" w:cs="仿宋" w:hAnsiTheme="minorEastAsia"/>
          <w:color w:val="000000"/>
          <w:kern w:val="0"/>
          <w:sz w:val="32"/>
          <w:szCs w:val="32"/>
          <w:lang w:val="en-US" w:eastAsia="zh-CN"/>
        </w:rPr>
      </w:pPr>
      <w:r>
        <w:rPr>
          <w:rFonts w:hint="eastAsia" w:ascii="仿宋_GB2312" w:eastAsia="仿宋_GB2312" w:cs="仿宋" w:hAnsiTheme="minorEastAsia"/>
          <w:color w:val="000000"/>
          <w:kern w:val="0"/>
          <w:sz w:val="32"/>
          <w:szCs w:val="32"/>
          <w:lang w:val="en-US" w:eastAsia="zh-CN"/>
        </w:rPr>
        <w:t>（三）单位负责人为同一人或者存在直接控股、管理关系的不同供应商，不得同时参加本采购项目（或采购包） 投标（响应）。（</w:t>
      </w:r>
      <w:r>
        <w:rPr>
          <w:rFonts w:hint="eastAsia" w:ascii="仿宋_GB2312" w:eastAsia="仿宋_GB2312" w:cs="仿宋" w:hAnsiTheme="minorEastAsia"/>
          <w:b/>
          <w:bCs/>
          <w:color w:val="000000"/>
          <w:kern w:val="0"/>
          <w:sz w:val="32"/>
          <w:szCs w:val="32"/>
          <w:lang w:val="en-US" w:eastAsia="zh-CN"/>
        </w:rPr>
        <w:t>提供承诺函，格式自拟</w:t>
      </w:r>
      <w:r>
        <w:rPr>
          <w:rFonts w:hint="eastAsia" w:ascii="仿宋_GB2312" w:eastAsia="仿宋_GB2312" w:cs="仿宋" w:hAnsiTheme="minorEastAsia"/>
          <w:color w:val="000000"/>
          <w:kern w:val="0"/>
          <w:sz w:val="32"/>
          <w:szCs w:val="32"/>
          <w:lang w:val="en-US" w:eastAsia="zh-CN"/>
        </w:rPr>
        <w:t>）。</w:t>
      </w:r>
    </w:p>
    <w:p w14:paraId="7E94F79B">
      <w:pPr>
        <w:keepNext w:val="0"/>
        <w:keepLines w:val="0"/>
        <w:pageBreakBefore w:val="0"/>
        <w:overflowPunct/>
        <w:topLinePunct w:val="0"/>
        <w:autoSpaceDE w:val="0"/>
        <w:autoSpaceDN w:val="0"/>
        <w:bidi w:val="0"/>
        <w:adjustRightInd w:val="0"/>
        <w:spacing w:line="560" w:lineRule="exact"/>
        <w:ind w:firstLine="640" w:firstLineChars="200"/>
        <w:jc w:val="left"/>
        <w:rPr>
          <w:rFonts w:hint="eastAsia" w:ascii="仿宋_GB2312" w:eastAsia="仿宋_GB2312" w:cs="仿宋" w:hAnsiTheme="minorEastAsia"/>
          <w:color w:val="000000"/>
          <w:kern w:val="0"/>
          <w:sz w:val="32"/>
          <w:szCs w:val="32"/>
          <w:lang w:val="en-US" w:eastAsia="zh-CN"/>
        </w:rPr>
      </w:pPr>
      <w:r>
        <w:rPr>
          <w:rFonts w:hint="eastAsia" w:ascii="仿宋_GB2312" w:eastAsia="仿宋_GB2312" w:cs="仿宋" w:hAnsiTheme="minorEastAsia"/>
          <w:color w:val="000000"/>
          <w:kern w:val="0"/>
          <w:sz w:val="32"/>
          <w:szCs w:val="32"/>
          <w:lang w:val="en-US" w:eastAsia="zh-CN"/>
        </w:rPr>
        <w:t>（四）供应商或其实验室须具有主管部门颁发的有效期内的检验检测机构资质认定证书（CMA证书），且资质能力覆盖本项目需求。（</w:t>
      </w:r>
      <w:r>
        <w:rPr>
          <w:rFonts w:hint="eastAsia" w:ascii="仿宋_GB2312" w:eastAsia="仿宋_GB2312" w:cs="仿宋" w:hAnsiTheme="minorEastAsia"/>
          <w:b/>
          <w:bCs/>
          <w:color w:val="000000"/>
          <w:kern w:val="0"/>
          <w:sz w:val="32"/>
          <w:szCs w:val="32"/>
          <w:lang w:val="en-US" w:eastAsia="zh-CN"/>
        </w:rPr>
        <w:t>提供有效期内证书的复印件，并承诺监测范围能涵盖表1的监测因子，承诺函格式自拟</w:t>
      </w:r>
      <w:r>
        <w:rPr>
          <w:rFonts w:hint="eastAsia" w:ascii="仿宋_GB2312" w:eastAsia="仿宋_GB2312" w:cs="仿宋" w:hAnsiTheme="minorEastAsia"/>
          <w:color w:val="000000"/>
          <w:kern w:val="0"/>
          <w:sz w:val="32"/>
          <w:szCs w:val="32"/>
          <w:lang w:val="en-US" w:eastAsia="zh-CN"/>
        </w:rPr>
        <w:t>）</w:t>
      </w:r>
    </w:p>
    <w:p w14:paraId="3B37D7C5">
      <w:pPr>
        <w:keepNext w:val="0"/>
        <w:keepLines w:val="0"/>
        <w:pageBreakBefore w:val="0"/>
        <w:overflowPunct/>
        <w:topLinePunct w:val="0"/>
        <w:autoSpaceDE w:val="0"/>
        <w:autoSpaceDN w:val="0"/>
        <w:bidi w:val="0"/>
        <w:adjustRightInd w:val="0"/>
        <w:spacing w:line="560" w:lineRule="exact"/>
        <w:ind w:firstLine="640" w:firstLineChars="200"/>
        <w:jc w:val="left"/>
        <w:rPr>
          <w:rFonts w:hint="eastAsia" w:ascii="仿宋_GB2312" w:eastAsia="仿宋_GB2312" w:cs="仿宋" w:hAnsiTheme="minorEastAsia"/>
          <w:color w:val="000000"/>
          <w:kern w:val="0"/>
          <w:sz w:val="32"/>
          <w:szCs w:val="32"/>
          <w:lang w:eastAsia="zh-CN"/>
        </w:rPr>
      </w:pPr>
      <w:r>
        <w:rPr>
          <w:rFonts w:hint="eastAsia" w:ascii="仿宋_GB2312" w:eastAsia="仿宋_GB2312" w:cs="仿宋" w:hAnsiTheme="minorEastAsia"/>
          <w:color w:val="000000"/>
          <w:kern w:val="0"/>
          <w:sz w:val="32"/>
          <w:szCs w:val="32"/>
          <w:lang w:eastAsia="zh-CN"/>
        </w:rPr>
        <w:t>（五）本项目专门面向中小企业。（</w:t>
      </w:r>
      <w:r>
        <w:rPr>
          <w:rFonts w:hint="eastAsia" w:ascii="仿宋_GB2312" w:eastAsia="仿宋_GB2312" w:cs="仿宋" w:hAnsiTheme="minorEastAsia"/>
          <w:b/>
          <w:bCs/>
          <w:color w:val="000000"/>
          <w:kern w:val="0"/>
          <w:sz w:val="32"/>
          <w:szCs w:val="32"/>
          <w:lang w:eastAsia="zh-CN"/>
        </w:rPr>
        <w:t>提供声明函，格式自拟</w:t>
      </w:r>
      <w:r>
        <w:rPr>
          <w:rFonts w:hint="eastAsia" w:ascii="仿宋_GB2312" w:eastAsia="仿宋_GB2312" w:cs="仿宋" w:hAnsiTheme="minorEastAsia"/>
          <w:color w:val="000000"/>
          <w:kern w:val="0"/>
          <w:sz w:val="32"/>
          <w:szCs w:val="32"/>
          <w:lang w:eastAsia="zh-CN"/>
        </w:rPr>
        <w:t>）</w:t>
      </w:r>
    </w:p>
    <w:p w14:paraId="0D2CAFB8">
      <w:pPr>
        <w:keepNext w:val="0"/>
        <w:keepLines w:val="0"/>
        <w:pageBreakBefore w:val="0"/>
        <w:overflowPunct/>
        <w:topLinePunct w:val="0"/>
        <w:autoSpaceDE w:val="0"/>
        <w:autoSpaceDN w:val="0"/>
        <w:bidi w:val="0"/>
        <w:adjustRightInd w:val="0"/>
        <w:spacing w:line="560" w:lineRule="exact"/>
        <w:ind w:firstLine="640" w:firstLineChars="200"/>
        <w:jc w:val="left"/>
        <w:rPr>
          <w:rFonts w:hint="default" w:ascii="仿宋_GB2312" w:eastAsia="仿宋_GB2312" w:cs="仿宋" w:hAnsiTheme="minorEastAsia"/>
          <w:color w:val="000000"/>
          <w:kern w:val="0"/>
          <w:sz w:val="32"/>
          <w:szCs w:val="32"/>
          <w:lang w:val="en-US" w:eastAsia="zh-CN"/>
        </w:rPr>
      </w:pPr>
      <w:r>
        <w:rPr>
          <w:rFonts w:hint="eastAsia" w:ascii="仿宋_GB2312" w:eastAsia="仿宋_GB2312" w:cs="仿宋" w:hAnsiTheme="minorEastAsia"/>
          <w:color w:val="000000"/>
          <w:kern w:val="0"/>
          <w:sz w:val="32"/>
          <w:szCs w:val="32"/>
          <w:lang w:eastAsia="zh-CN"/>
        </w:rPr>
        <w:t>（六）公平竞争承诺书。（</w:t>
      </w:r>
      <w:r>
        <w:rPr>
          <w:rFonts w:hint="eastAsia" w:ascii="仿宋_GB2312" w:eastAsia="仿宋_GB2312" w:cs="仿宋" w:hAnsiTheme="minorEastAsia"/>
          <w:b/>
          <w:bCs/>
          <w:color w:val="000000"/>
          <w:kern w:val="0"/>
          <w:sz w:val="32"/>
          <w:szCs w:val="32"/>
          <w:lang w:eastAsia="zh-CN"/>
        </w:rPr>
        <w:t>格式按附件</w:t>
      </w:r>
      <w:r>
        <w:rPr>
          <w:rFonts w:hint="eastAsia" w:ascii="仿宋_GB2312" w:eastAsia="仿宋_GB2312" w:cs="仿宋" w:hAnsiTheme="minorEastAsia"/>
          <w:b/>
          <w:bCs/>
          <w:color w:val="000000"/>
          <w:kern w:val="0"/>
          <w:sz w:val="32"/>
          <w:szCs w:val="32"/>
          <w:lang w:val="en-US" w:eastAsia="zh-CN"/>
        </w:rPr>
        <w:t>1</w:t>
      </w:r>
      <w:r>
        <w:rPr>
          <w:rFonts w:hint="eastAsia" w:ascii="仿宋_GB2312" w:eastAsia="仿宋_GB2312" w:cs="仿宋" w:hAnsiTheme="minorEastAsia"/>
          <w:color w:val="000000"/>
          <w:kern w:val="0"/>
          <w:sz w:val="32"/>
          <w:szCs w:val="32"/>
          <w:lang w:val="en-US" w:eastAsia="zh-CN"/>
        </w:rPr>
        <w:t>）</w:t>
      </w:r>
    </w:p>
    <w:p w14:paraId="052A24E7">
      <w:pPr>
        <w:keepNext w:val="0"/>
        <w:keepLines w:val="0"/>
        <w:pageBreakBefore w:val="0"/>
        <w:overflowPunct/>
        <w:topLinePunct w:val="0"/>
        <w:autoSpaceDE w:val="0"/>
        <w:autoSpaceDN w:val="0"/>
        <w:bidi w:val="0"/>
        <w:adjustRightInd w:val="0"/>
        <w:spacing w:line="560" w:lineRule="exact"/>
        <w:ind w:firstLine="640" w:firstLineChars="200"/>
        <w:jc w:val="left"/>
        <w:rPr>
          <w:rFonts w:hint="eastAsia" w:ascii="仿宋_GB2312" w:eastAsia="仿宋_GB2312" w:cs="仿宋" w:hAnsiTheme="minorEastAsia"/>
          <w:color w:val="000000"/>
          <w:kern w:val="0"/>
          <w:sz w:val="32"/>
          <w:szCs w:val="32"/>
          <w:lang w:eastAsia="zh-CN"/>
        </w:rPr>
      </w:pPr>
      <w:r>
        <w:rPr>
          <w:rFonts w:hint="eastAsia" w:ascii="仿宋_GB2312" w:eastAsia="仿宋_GB2312" w:cs="仿宋" w:hAnsiTheme="minorEastAsia"/>
          <w:color w:val="000000"/>
          <w:kern w:val="0"/>
          <w:sz w:val="32"/>
          <w:szCs w:val="32"/>
          <w:lang w:eastAsia="zh-CN"/>
        </w:rPr>
        <w:t>（七）与本项目相关的人员、设备、服务、能力证明、项目方案等材料，并加盖公章。</w:t>
      </w:r>
    </w:p>
    <w:p w14:paraId="2BC49DC5">
      <w:pPr>
        <w:keepNext w:val="0"/>
        <w:keepLines w:val="0"/>
        <w:pageBreakBefore w:val="0"/>
        <w:overflowPunct/>
        <w:topLinePunct w:val="0"/>
        <w:autoSpaceDE w:val="0"/>
        <w:autoSpaceDN w:val="0"/>
        <w:bidi w:val="0"/>
        <w:adjustRightInd w:val="0"/>
        <w:spacing w:line="560" w:lineRule="exact"/>
        <w:ind w:firstLine="640" w:firstLineChars="200"/>
        <w:jc w:val="left"/>
        <w:rPr>
          <w:rFonts w:hint="eastAsia" w:ascii="仿宋_GB2312" w:eastAsia="仿宋_GB2312" w:cs="仿宋" w:hAnsiTheme="minorEastAsia"/>
          <w:color w:val="000000"/>
          <w:kern w:val="0"/>
          <w:sz w:val="32"/>
          <w:szCs w:val="32"/>
          <w:lang w:val="en-US" w:eastAsia="zh-CN"/>
        </w:rPr>
      </w:pPr>
      <w:r>
        <w:rPr>
          <w:rFonts w:hint="eastAsia" w:ascii="仿宋_GB2312" w:eastAsia="仿宋_GB2312" w:cs="仿宋" w:hAnsiTheme="minorEastAsia"/>
          <w:color w:val="000000"/>
          <w:kern w:val="0"/>
          <w:sz w:val="32"/>
          <w:szCs w:val="32"/>
          <w:lang w:eastAsia="zh-CN"/>
        </w:rPr>
        <w:t>（八）</w:t>
      </w:r>
      <w:r>
        <w:rPr>
          <w:rFonts w:hint="eastAsia" w:ascii="仿宋_GB2312" w:eastAsia="仿宋_GB2312" w:cs="仿宋" w:hAnsiTheme="minorEastAsia"/>
          <w:color w:val="000000"/>
          <w:kern w:val="0"/>
          <w:sz w:val="32"/>
          <w:szCs w:val="32"/>
          <w:lang w:val="en-US" w:eastAsia="zh-CN"/>
        </w:rPr>
        <w:t>2024年1月1日至今（以合同签订时间为准）的同类业绩。</w:t>
      </w:r>
    </w:p>
    <w:p w14:paraId="1D24117E">
      <w:pPr>
        <w:keepNext w:val="0"/>
        <w:keepLines w:val="0"/>
        <w:pageBreakBefore w:val="0"/>
        <w:numPr>
          <w:ilvl w:val="0"/>
          <w:numId w:val="0"/>
        </w:numPr>
        <w:overflowPunct/>
        <w:topLinePunct w:val="0"/>
        <w:autoSpaceDE w:val="0"/>
        <w:autoSpaceDN w:val="0"/>
        <w:bidi w:val="0"/>
        <w:adjustRightInd w:val="0"/>
        <w:spacing w:line="560" w:lineRule="exact"/>
        <w:ind w:firstLine="640" w:firstLineChars="200"/>
        <w:jc w:val="left"/>
        <w:rPr>
          <w:rFonts w:hint="eastAsia" w:ascii="仿宋_GB2312" w:eastAsia="仿宋_GB2312" w:cs="仿宋" w:hAnsiTheme="minorEastAsia"/>
          <w:color w:val="000000"/>
          <w:kern w:val="0"/>
          <w:sz w:val="32"/>
          <w:szCs w:val="32"/>
          <w:lang w:eastAsia="zh-CN"/>
        </w:rPr>
      </w:pPr>
      <w:r>
        <w:rPr>
          <w:rFonts w:hint="eastAsia" w:ascii="仿宋_GB2312" w:eastAsia="仿宋_GB2312" w:cs="仿宋" w:hAnsiTheme="minorEastAsia"/>
          <w:color w:val="000000"/>
          <w:kern w:val="0"/>
          <w:sz w:val="32"/>
          <w:szCs w:val="32"/>
          <w:lang w:eastAsia="zh-CN"/>
        </w:rPr>
        <w:t>（九）按附件</w:t>
      </w:r>
      <w:r>
        <w:rPr>
          <w:rFonts w:hint="eastAsia" w:ascii="仿宋_GB2312" w:eastAsia="仿宋_GB2312" w:cs="仿宋" w:hAnsiTheme="minorEastAsia"/>
          <w:color w:val="000000"/>
          <w:kern w:val="0"/>
          <w:sz w:val="32"/>
          <w:szCs w:val="32"/>
          <w:lang w:val="en-US" w:eastAsia="zh-CN"/>
        </w:rPr>
        <w:t>3</w:t>
      </w:r>
      <w:r>
        <w:rPr>
          <w:rFonts w:hint="eastAsia" w:ascii="仿宋_GB2312" w:eastAsia="仿宋_GB2312" w:cs="仿宋" w:hAnsiTheme="minorEastAsia"/>
          <w:color w:val="000000"/>
          <w:kern w:val="0"/>
          <w:sz w:val="32"/>
          <w:szCs w:val="32"/>
          <w:lang w:eastAsia="zh-CN"/>
        </w:rPr>
        <w:t>格式要求的《报价一览表》。</w:t>
      </w:r>
    </w:p>
    <w:p w14:paraId="1E126D12">
      <w:pPr>
        <w:keepNext w:val="0"/>
        <w:keepLines w:val="0"/>
        <w:pageBreakBefore w:val="0"/>
        <w:overflowPunct/>
        <w:topLinePunct w:val="0"/>
        <w:autoSpaceDE w:val="0"/>
        <w:autoSpaceDN w:val="0"/>
        <w:bidi w:val="0"/>
        <w:adjustRightInd w:val="0"/>
        <w:spacing w:line="560" w:lineRule="exact"/>
        <w:ind w:firstLine="664" w:firstLineChars="200"/>
        <w:jc w:val="left"/>
        <w:rPr>
          <w:rFonts w:hint="default" w:ascii="仿宋_GB2312" w:eastAsia="仿宋_GB2312" w:cs="仿宋" w:hAnsiTheme="minorEastAsia"/>
          <w:b/>
          <w:bCs/>
          <w:color w:val="000000"/>
          <w:kern w:val="0"/>
          <w:sz w:val="32"/>
          <w:szCs w:val="32"/>
          <w:lang w:val="en-US" w:eastAsia="zh-CN"/>
        </w:rPr>
      </w:pPr>
      <w:r>
        <w:rPr>
          <w:rFonts w:hint="eastAsia" w:ascii="国标黑体" w:hAnsi="国标黑体" w:eastAsia="国标黑体" w:cs="国标黑体"/>
          <w:b w:val="0"/>
          <w:bCs w:val="0"/>
          <w:spacing w:val="6"/>
          <w:position w:val="1"/>
          <w:sz w:val="32"/>
          <w:szCs w:val="32"/>
          <w:lang w:val="en-US" w:eastAsia="zh-CN"/>
        </w:rPr>
        <w:t>六</w:t>
      </w:r>
      <w:r>
        <w:rPr>
          <w:rFonts w:hint="default" w:ascii="国标黑体" w:hAnsi="国标黑体" w:eastAsia="国标黑体" w:cs="国标黑体"/>
          <w:b w:val="0"/>
          <w:bCs w:val="0"/>
          <w:spacing w:val="6"/>
          <w:position w:val="1"/>
          <w:sz w:val="32"/>
          <w:szCs w:val="32"/>
          <w:lang w:val="en-US" w:eastAsia="zh-CN"/>
        </w:rPr>
        <w:t>、</w:t>
      </w:r>
      <w:r>
        <w:rPr>
          <w:rFonts w:hint="eastAsia" w:ascii="国标黑体" w:hAnsi="国标黑体" w:eastAsia="国标黑体" w:cs="国标黑体"/>
          <w:b w:val="0"/>
          <w:bCs w:val="0"/>
          <w:spacing w:val="6"/>
          <w:position w:val="1"/>
          <w:sz w:val="32"/>
          <w:szCs w:val="32"/>
          <w:lang w:val="en-US" w:eastAsia="zh-CN"/>
        </w:rPr>
        <w:t>报名截止时间及资料提交方式</w:t>
      </w:r>
    </w:p>
    <w:p w14:paraId="22AF7017">
      <w:pPr>
        <w:keepNext w:val="0"/>
        <w:keepLines w:val="0"/>
        <w:pageBreakBefore w:val="0"/>
        <w:overflowPunct/>
        <w:topLinePunct w:val="0"/>
        <w:autoSpaceDE w:val="0"/>
        <w:autoSpaceDN w:val="0"/>
        <w:bidi w:val="0"/>
        <w:adjustRightInd w:val="0"/>
        <w:spacing w:line="560" w:lineRule="exact"/>
        <w:ind w:firstLine="640" w:firstLineChars="200"/>
        <w:jc w:val="left"/>
        <w:rPr>
          <w:rFonts w:hint="default" w:ascii="仿宋_GB2312" w:eastAsia="仿宋_GB2312" w:cs="仿宋" w:hAnsiTheme="minorEastAsia"/>
          <w:color w:val="000000"/>
          <w:kern w:val="0"/>
          <w:sz w:val="32"/>
          <w:szCs w:val="32"/>
          <w:lang w:val="en-US" w:eastAsia="zh-CN"/>
        </w:rPr>
      </w:pPr>
      <w:r>
        <w:rPr>
          <w:rFonts w:hint="eastAsia" w:ascii="仿宋_GB2312" w:eastAsia="仿宋_GB2312" w:cs="仿宋" w:hAnsiTheme="minorEastAsia"/>
          <w:color w:val="000000"/>
          <w:kern w:val="0"/>
          <w:sz w:val="32"/>
          <w:szCs w:val="32"/>
          <w:lang w:val="en-US" w:eastAsia="zh-CN"/>
        </w:rPr>
        <w:t>（一）报名截止时间：2026年6月18日18:00（北京时间）。</w:t>
      </w:r>
    </w:p>
    <w:p w14:paraId="51EE0400">
      <w:pPr>
        <w:keepNext w:val="0"/>
        <w:keepLines w:val="0"/>
        <w:pageBreakBefore w:val="0"/>
        <w:overflowPunct/>
        <w:topLinePunct w:val="0"/>
        <w:autoSpaceDE w:val="0"/>
        <w:autoSpaceDN w:val="0"/>
        <w:bidi w:val="0"/>
        <w:adjustRightInd w:val="0"/>
        <w:spacing w:line="560" w:lineRule="exact"/>
        <w:ind w:firstLine="640" w:firstLineChars="200"/>
        <w:jc w:val="left"/>
        <w:rPr>
          <w:rFonts w:hint="eastAsia" w:ascii="仿宋_GB2312" w:hAnsi="宋体" w:eastAsia="仿宋_GB2312" w:cs="仿宋"/>
          <w:color w:val="000000"/>
          <w:kern w:val="0"/>
          <w:sz w:val="32"/>
          <w:szCs w:val="32"/>
          <w:lang w:val="en-US" w:eastAsia="zh-CN"/>
        </w:rPr>
      </w:pPr>
      <w:r>
        <w:rPr>
          <w:rFonts w:hint="eastAsia" w:ascii="仿宋_GB2312" w:eastAsia="仿宋_GB2312" w:cs="仿宋" w:hAnsiTheme="minorEastAsia"/>
          <w:color w:val="000000"/>
          <w:kern w:val="0"/>
          <w:sz w:val="32"/>
          <w:szCs w:val="32"/>
          <w:lang w:val="en-US" w:eastAsia="zh-CN"/>
        </w:rPr>
        <w:t>（二）文件提交方式：</w:t>
      </w:r>
      <w:r>
        <w:rPr>
          <w:rFonts w:hint="default" w:ascii="仿宋_GB2312" w:hAnsi="宋体" w:eastAsia="仿宋_GB2312" w:cs="仿宋"/>
          <w:color w:val="000000"/>
          <w:kern w:val="0"/>
          <w:sz w:val="32"/>
          <w:szCs w:val="32"/>
          <w:lang w:val="en-US" w:eastAsia="zh-CN"/>
        </w:rPr>
        <w:t>在报名</w:t>
      </w:r>
      <w:r>
        <w:rPr>
          <w:rFonts w:hint="eastAsia" w:ascii="仿宋_GB2312" w:hAnsi="宋体" w:eastAsia="仿宋_GB2312" w:cs="仿宋"/>
          <w:color w:val="000000"/>
          <w:kern w:val="0"/>
          <w:sz w:val="32"/>
          <w:szCs w:val="32"/>
          <w:lang w:val="en-US" w:eastAsia="zh-CN"/>
        </w:rPr>
        <w:t>截止时间前将纸质报名</w:t>
      </w:r>
      <w:r>
        <w:rPr>
          <w:rFonts w:hint="default" w:ascii="仿宋_GB2312" w:hAnsi="宋体" w:eastAsia="仿宋_GB2312" w:cs="仿宋"/>
          <w:color w:val="000000"/>
          <w:kern w:val="0"/>
          <w:sz w:val="32"/>
          <w:szCs w:val="32"/>
          <w:lang w:val="en-US" w:eastAsia="zh-CN"/>
        </w:rPr>
        <w:t>材料</w:t>
      </w:r>
      <w:r>
        <w:rPr>
          <w:rFonts w:hint="eastAsia" w:ascii="仿宋_GB2312" w:hAnsi="宋体" w:eastAsia="仿宋_GB2312" w:cs="仿宋"/>
          <w:color w:val="000000"/>
          <w:kern w:val="0"/>
          <w:sz w:val="32"/>
          <w:szCs w:val="32"/>
          <w:lang w:val="en-US" w:eastAsia="zh-CN"/>
        </w:rPr>
        <w:t>（每页加盖公章）密封送达荔湾环境监测站（地址：广东省广州市荔湾区浣花路33号侨联大厦十楼）。</w:t>
      </w:r>
    </w:p>
    <w:p w14:paraId="50191A65">
      <w:pPr>
        <w:keepNext w:val="0"/>
        <w:keepLines w:val="0"/>
        <w:pageBreakBefore w:val="0"/>
        <w:overflowPunct/>
        <w:topLinePunct w:val="0"/>
        <w:autoSpaceDE w:val="0"/>
        <w:autoSpaceDN w:val="0"/>
        <w:bidi w:val="0"/>
        <w:adjustRightInd w:val="0"/>
        <w:spacing w:line="560" w:lineRule="exact"/>
        <w:ind w:firstLine="640" w:firstLineChars="200"/>
        <w:jc w:val="left"/>
        <w:rPr>
          <w:rFonts w:hint="eastAsia" w:ascii="仿宋_GB2312" w:eastAsia="仿宋_GB2312" w:cs="仿宋" w:hAnsiTheme="minorEastAsia"/>
          <w:color w:val="000000"/>
          <w:kern w:val="0"/>
          <w:sz w:val="32"/>
          <w:szCs w:val="32"/>
          <w:lang w:val="en-US" w:eastAsia="zh-CN"/>
        </w:rPr>
      </w:pPr>
      <w:r>
        <w:rPr>
          <w:rFonts w:hint="eastAsia" w:ascii="仿宋_GB2312" w:eastAsia="仿宋_GB2312" w:cs="仿宋" w:hAnsiTheme="minorEastAsia"/>
          <w:color w:val="000000"/>
          <w:kern w:val="0"/>
          <w:sz w:val="32"/>
          <w:szCs w:val="32"/>
          <w:lang w:val="en-US" w:eastAsia="zh-CN"/>
        </w:rPr>
        <w:t>（三）联系</w:t>
      </w:r>
      <w:r>
        <w:rPr>
          <w:rFonts w:hint="default" w:ascii="仿宋_GB2312" w:eastAsia="仿宋_GB2312" w:cs="仿宋" w:hAnsiTheme="minorEastAsia"/>
          <w:color w:val="000000"/>
          <w:kern w:val="0"/>
          <w:sz w:val="32"/>
          <w:szCs w:val="32"/>
          <w:lang w:val="en-US" w:eastAsia="zh-CN"/>
        </w:rPr>
        <w:t>人及联系方式：</w:t>
      </w:r>
      <w:r>
        <w:rPr>
          <w:rFonts w:hint="eastAsia" w:ascii="仿宋_GB2312" w:eastAsia="仿宋_GB2312" w:cs="仿宋" w:hAnsiTheme="minorEastAsia"/>
          <w:color w:val="000000"/>
          <w:kern w:val="0"/>
          <w:sz w:val="32"/>
          <w:szCs w:val="32"/>
          <w:lang w:val="en-US" w:eastAsia="zh-CN"/>
        </w:rPr>
        <w:t>郑先生</w:t>
      </w:r>
      <w:r>
        <w:rPr>
          <w:rFonts w:hint="default" w:ascii="仿宋_GB2312" w:eastAsia="仿宋_GB2312" w:cs="仿宋" w:hAnsiTheme="minorEastAsia"/>
          <w:color w:val="000000"/>
          <w:kern w:val="0"/>
          <w:sz w:val="32"/>
          <w:szCs w:val="32"/>
          <w:lang w:val="en-US" w:eastAsia="zh-CN"/>
        </w:rPr>
        <w:t>，020-</w:t>
      </w:r>
      <w:r>
        <w:rPr>
          <w:rFonts w:hint="eastAsia" w:ascii="仿宋_GB2312" w:eastAsia="仿宋_GB2312" w:cs="仿宋" w:hAnsiTheme="minorEastAsia"/>
          <w:color w:val="000000"/>
          <w:kern w:val="0"/>
          <w:sz w:val="32"/>
          <w:szCs w:val="32"/>
          <w:lang w:val="en-US" w:eastAsia="zh-CN"/>
        </w:rPr>
        <w:t>81576813。</w:t>
      </w:r>
    </w:p>
    <w:p w14:paraId="39895C8A">
      <w:pPr>
        <w:keepNext w:val="0"/>
        <w:keepLines w:val="0"/>
        <w:pageBreakBefore w:val="0"/>
        <w:overflowPunct/>
        <w:topLinePunct w:val="0"/>
        <w:bidi w:val="0"/>
        <w:spacing w:line="560" w:lineRule="exact"/>
        <w:ind w:firstLine="640" w:firstLineChars="200"/>
        <w:rPr>
          <w:rFonts w:hint="eastAsia" w:eastAsia="黑体"/>
          <w:sz w:val="32"/>
          <w:szCs w:val="32"/>
          <w:lang w:eastAsia="zh-CN"/>
        </w:rPr>
      </w:pPr>
      <w:r>
        <w:rPr>
          <w:rFonts w:hint="eastAsia" w:eastAsia="黑体"/>
          <w:sz w:val="32"/>
          <w:szCs w:val="32"/>
          <w:lang w:eastAsia="zh-CN"/>
        </w:rPr>
        <w:t>七、供应商确定</w:t>
      </w:r>
    </w:p>
    <w:p w14:paraId="11BBB33A">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sz w:val="32"/>
          <w:szCs w:val="32"/>
        </w:rPr>
      </w:pPr>
      <w:r>
        <w:rPr>
          <w:rFonts w:hint="eastAsia" w:ascii="Times New Roman" w:hAnsi="Times New Roman" w:eastAsia="仿宋_GB2312" w:cs="Times New Roman"/>
          <w:kern w:val="2"/>
          <w:sz w:val="32"/>
          <w:szCs w:val="32"/>
          <w:lang w:val="en-US" w:eastAsia="zh-CN" w:bidi="ar-SA"/>
        </w:rPr>
        <w:t>采购人成立评审小组，按照综合比选的原则，依据附件2的评审细则，从技术、商务、价格及信用等方面对符合资格条件的供应商进行打分，按照分数从高到低进行排序，排名第一的确定为本项目成交供应商，</w:t>
      </w:r>
      <w:r>
        <w:rPr>
          <w:rFonts w:hint="eastAsia" w:ascii="仿宋_GB2312" w:hAnsi="仿宋_GB2312" w:eastAsia="仿宋_GB2312" w:cs="仿宋_GB2312"/>
          <w:sz w:val="32"/>
          <w:szCs w:val="32"/>
        </w:rPr>
        <w:t>其他未中选供应商不再另行通知。</w:t>
      </w:r>
    </w:p>
    <w:p w14:paraId="576B8328">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rPr>
          <w:rFonts w:hint="eastAsia" w:ascii="国标黑体" w:hAnsi="国标黑体" w:eastAsia="国标黑体" w:cs="国标黑体"/>
          <w:b w:val="0"/>
          <w:bCs w:val="0"/>
          <w:sz w:val="32"/>
          <w:szCs w:val="32"/>
        </w:rPr>
      </w:pPr>
      <w:r>
        <w:rPr>
          <w:rFonts w:hint="eastAsia" w:ascii="国标黑体" w:hAnsi="国标黑体" w:eastAsia="国标黑体" w:cs="国标黑体"/>
          <w:b w:val="0"/>
          <w:bCs w:val="0"/>
          <w:sz w:val="32"/>
          <w:szCs w:val="32"/>
          <w:lang w:eastAsia="zh-CN"/>
        </w:rPr>
        <w:t>八、</w:t>
      </w:r>
      <w:r>
        <w:rPr>
          <w:rFonts w:hint="eastAsia" w:ascii="国标黑体" w:hAnsi="国标黑体" w:eastAsia="国标黑体" w:cs="国标黑体"/>
          <w:b w:val="0"/>
          <w:bCs w:val="0"/>
          <w:sz w:val="32"/>
          <w:szCs w:val="32"/>
        </w:rPr>
        <w:t>其他事项</w:t>
      </w:r>
    </w:p>
    <w:p w14:paraId="1E3A4FFF">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（一）本项目不举行集中答疑。</w:t>
      </w:r>
    </w:p>
    <w:p w14:paraId="35BD0FD1">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i w:val="0"/>
          <w:iCs w:val="0"/>
          <w:spacing w:val="0"/>
          <w:sz w:val="32"/>
          <w:szCs w:val="32"/>
        </w:rPr>
      </w:pPr>
      <w:r>
        <w:rPr>
          <w:rFonts w:hint="eastAsia" w:ascii="仿宋_GB2312" w:hAnsi="仿宋_GB2312" w:eastAsia="仿宋_GB2312" w:cs="仿宋_GB2312"/>
          <w:sz w:val="32"/>
          <w:szCs w:val="32"/>
        </w:rPr>
        <w:t>（二）报名的单位须确保提交的各项资料真实、</w:t>
      </w:r>
      <w:r>
        <w:rPr>
          <w:rFonts w:hint="eastAsia" w:ascii="仿宋_GB2312" w:hAnsi="仿宋_GB2312" w:eastAsia="仿宋_GB2312" w:cs="仿宋_GB2312"/>
          <w:i w:val="0"/>
          <w:iCs w:val="0"/>
          <w:color w:val="000000"/>
          <w:spacing w:val="0"/>
          <w:sz w:val="32"/>
          <w:szCs w:val="32"/>
          <w:shd w:val="clear" w:color="auto" w:fill="auto"/>
        </w:rPr>
        <w:t>完整、</w:t>
      </w:r>
      <w:r>
        <w:rPr>
          <w:rFonts w:hint="eastAsia" w:ascii="仿宋_GB2312" w:hAnsi="仿宋_GB2312" w:eastAsia="仿宋_GB2312" w:cs="仿宋_GB2312"/>
          <w:sz w:val="32"/>
          <w:szCs w:val="32"/>
        </w:rPr>
        <w:t>有效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i w:val="0"/>
          <w:iCs w:val="0"/>
          <w:spacing w:val="0"/>
          <w:sz w:val="32"/>
          <w:szCs w:val="32"/>
        </w:rPr>
        <w:t>否则自行承担由此导致的任何损失。</w:t>
      </w:r>
    </w:p>
    <w:p w14:paraId="66EE4D7E">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sz w:val="32"/>
          <w:szCs w:val="32"/>
        </w:rPr>
      </w:pPr>
    </w:p>
    <w:p w14:paraId="5066EEA5">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附件：1.公平竞争承诺书</w:t>
      </w:r>
    </w:p>
    <w:p w14:paraId="6A14B507">
      <w:pPr>
        <w:keepNext w:val="0"/>
        <w:keepLines w:val="0"/>
        <w:pageBreakBefore w:val="0"/>
        <w:kinsoku/>
        <w:wordWrap/>
        <w:overflowPunct/>
        <w:topLinePunct w:val="0"/>
        <w:autoSpaceDE/>
        <w:autoSpaceDN/>
        <w:bidi w:val="0"/>
        <w:adjustRightInd/>
        <w:snapToGrid/>
        <w:spacing w:line="560" w:lineRule="exact"/>
        <w:ind w:firstLine="1600" w:firstLineChars="5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2.评分细则</w:t>
      </w:r>
    </w:p>
    <w:p w14:paraId="3EB91853">
      <w:pPr>
        <w:keepNext w:val="0"/>
        <w:keepLines w:val="0"/>
        <w:pageBreakBefore w:val="0"/>
        <w:kinsoku/>
        <w:wordWrap/>
        <w:overflowPunct/>
        <w:topLinePunct w:val="0"/>
        <w:autoSpaceDE/>
        <w:autoSpaceDN/>
        <w:bidi w:val="0"/>
        <w:adjustRightInd/>
        <w:snapToGrid/>
        <w:spacing w:line="560" w:lineRule="exact"/>
        <w:ind w:firstLine="1600" w:firstLineChars="5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3.报价一览表</w:t>
      </w:r>
    </w:p>
    <w:p w14:paraId="318FC438">
      <w:pPr>
        <w:keepNext w:val="0"/>
        <w:keepLines w:val="0"/>
        <w:pageBreakBefore w:val="0"/>
        <w:kinsoku/>
        <w:wordWrap/>
        <w:overflowPunct/>
        <w:topLinePunct w:val="0"/>
        <w:autoSpaceDE/>
        <w:autoSpaceDN/>
        <w:bidi w:val="0"/>
        <w:adjustRightInd/>
        <w:snapToGrid/>
        <w:spacing w:line="560" w:lineRule="exact"/>
        <w:ind w:firstLine="1600" w:firstLineChars="5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4.合同书（格式）</w:t>
      </w:r>
    </w:p>
    <w:p w14:paraId="5E84C8F9">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sz w:val="32"/>
          <w:szCs w:val="32"/>
        </w:rPr>
      </w:pPr>
    </w:p>
    <w:p w14:paraId="0C28F782">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righ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14:paraId="638F5840">
      <w:pPr>
        <w:numPr>
          <w:ilvl w:val="0"/>
          <w:numId w:val="0"/>
        </w:numPr>
        <w:autoSpaceDE w:val="0"/>
        <w:autoSpaceDN w:val="0"/>
        <w:adjustRightInd w:val="0"/>
        <w:jc w:val="left"/>
        <w:rPr>
          <w:rFonts w:hint="eastAsia" w:ascii="仿宋_GB2312" w:eastAsia="仿宋_GB2312" w:cs="仿宋" w:hAnsiTheme="minorEastAsia"/>
          <w:color w:val="000000"/>
          <w:kern w:val="0"/>
          <w:sz w:val="32"/>
          <w:szCs w:val="32"/>
          <w:lang w:eastAsia="zh-CN"/>
        </w:rPr>
      </w:pPr>
    </w:p>
    <w:p w14:paraId="3AC40108">
      <w:pPr>
        <w:rPr>
          <w:rFonts w:hint="eastAsia" w:ascii="宋体" w:hAnsi="宋体"/>
          <w:color w:val="auto"/>
          <w:szCs w:val="21"/>
        </w:rPr>
      </w:pPr>
      <w:r>
        <w:rPr>
          <w:rFonts w:hint="eastAsia" w:ascii="宋体" w:hAnsi="宋体"/>
          <w:color w:val="auto"/>
          <w:szCs w:val="21"/>
        </w:rPr>
        <w:br w:type="page"/>
      </w:r>
    </w:p>
    <w:p w14:paraId="4F077F91">
      <w:pPr>
        <w:keepNext w:val="0"/>
        <w:keepLines w:val="0"/>
        <w:pageBreakBefore w:val="0"/>
        <w:widowControl/>
        <w:kinsoku/>
        <w:wordWrap/>
        <w:overflowPunct/>
        <w:topLinePunct w:val="0"/>
        <w:autoSpaceDN/>
        <w:bidi w:val="0"/>
        <w:spacing w:line="560" w:lineRule="exact"/>
        <w:jc w:val="both"/>
        <w:rPr>
          <w:rFonts w:hint="default" w:ascii="Times New Roman" w:hAnsi="Times New Roman" w:eastAsia="黑体" w:cs="Times New Roman"/>
          <w:b w:val="0"/>
          <w:bCs w:val="0"/>
          <w:color w:val="auto"/>
          <w:sz w:val="32"/>
          <w:szCs w:val="32"/>
          <w:lang w:val="en-US" w:eastAsia="zh-CN"/>
        </w:rPr>
      </w:pPr>
      <w:r>
        <w:rPr>
          <w:rFonts w:hint="default" w:ascii="Times New Roman" w:hAnsi="Times New Roman" w:eastAsia="黑体" w:cs="Times New Roman"/>
          <w:b w:val="0"/>
          <w:bCs w:val="0"/>
          <w:color w:val="auto"/>
          <w:sz w:val="32"/>
          <w:szCs w:val="32"/>
          <w:lang w:eastAsia="zh-CN"/>
        </w:rPr>
        <w:t>附件</w:t>
      </w:r>
      <w:r>
        <w:rPr>
          <w:rFonts w:hint="eastAsia" w:ascii="Times New Roman" w:hAnsi="Times New Roman" w:eastAsia="黑体" w:cs="Times New Roman"/>
          <w:b w:val="0"/>
          <w:bCs w:val="0"/>
          <w:color w:val="auto"/>
          <w:sz w:val="32"/>
          <w:szCs w:val="32"/>
          <w:lang w:val="en-US" w:eastAsia="zh-CN"/>
        </w:rPr>
        <w:t>1</w:t>
      </w:r>
    </w:p>
    <w:p w14:paraId="7D677725">
      <w:pPr>
        <w:keepNext w:val="0"/>
        <w:keepLines w:val="0"/>
        <w:pageBreakBefore w:val="0"/>
        <w:widowControl w:val="0"/>
        <w:kinsoku/>
        <w:overflowPunct/>
        <w:topLinePunct w:val="0"/>
        <w:bidi w:val="0"/>
        <w:snapToGrid/>
        <w:spacing w:line="560" w:lineRule="exact"/>
        <w:jc w:val="center"/>
        <w:rPr>
          <w:rFonts w:hint="default" w:ascii="Times New Roman" w:hAnsi="Times New Roman" w:eastAsia="方正小标宋简体" w:cs="Times New Roman"/>
          <w:b w:val="0"/>
          <w:bCs w:val="0"/>
          <w:color w:val="auto"/>
          <w:kern w:val="0"/>
          <w:sz w:val="44"/>
          <w:szCs w:val="44"/>
        </w:rPr>
      </w:pPr>
    </w:p>
    <w:p w14:paraId="4104E202">
      <w:pPr>
        <w:keepNext w:val="0"/>
        <w:keepLines w:val="0"/>
        <w:pageBreakBefore w:val="0"/>
        <w:widowControl w:val="0"/>
        <w:kinsoku/>
        <w:overflowPunct/>
        <w:topLinePunct w:val="0"/>
        <w:bidi w:val="0"/>
        <w:snapToGrid/>
        <w:spacing w:line="560" w:lineRule="exact"/>
        <w:jc w:val="center"/>
        <w:rPr>
          <w:rFonts w:hint="default" w:ascii="Times New Roman" w:hAnsi="Times New Roman" w:eastAsia="仿宋_GB2312" w:cs="Times New Roman"/>
          <w:b/>
          <w:bCs/>
          <w:color w:val="auto"/>
          <w:kern w:val="0"/>
          <w:sz w:val="32"/>
          <w:szCs w:val="32"/>
        </w:rPr>
      </w:pPr>
      <w:r>
        <w:rPr>
          <w:rFonts w:hint="default" w:ascii="Times New Roman" w:hAnsi="Times New Roman" w:eastAsia="方正小标宋简体" w:cs="Times New Roman"/>
          <w:b w:val="0"/>
          <w:bCs w:val="0"/>
          <w:color w:val="auto"/>
          <w:kern w:val="0"/>
          <w:sz w:val="44"/>
          <w:szCs w:val="44"/>
        </w:rPr>
        <w:t>公平竞争承诺书</w:t>
      </w:r>
    </w:p>
    <w:p w14:paraId="696BA344">
      <w:pPr>
        <w:keepNext w:val="0"/>
        <w:keepLines w:val="0"/>
        <w:pageBreakBefore w:val="0"/>
        <w:widowControl w:val="0"/>
        <w:kinsoku/>
        <w:overflowPunct/>
        <w:topLinePunct w:val="0"/>
        <w:bidi w:val="0"/>
        <w:snapToGrid/>
        <w:spacing w:line="560" w:lineRule="exact"/>
        <w:rPr>
          <w:rFonts w:hint="default" w:ascii="Times New Roman" w:hAnsi="Times New Roman" w:eastAsia="仿宋_GB2312" w:cs="Times New Roman"/>
          <w:b/>
          <w:bCs/>
          <w:color w:val="auto"/>
          <w:kern w:val="0"/>
          <w:sz w:val="32"/>
          <w:szCs w:val="32"/>
        </w:rPr>
      </w:pPr>
    </w:p>
    <w:p w14:paraId="4BA8DDAE">
      <w:pPr>
        <w:keepNext w:val="0"/>
        <w:keepLines w:val="0"/>
        <w:pageBreakBefore w:val="0"/>
        <w:widowControl w:val="0"/>
        <w:kinsoku/>
        <w:overflowPunct/>
        <w:topLinePunct w:val="0"/>
        <w:autoSpaceDE w:val="0"/>
        <w:autoSpaceDN w:val="0"/>
        <w:bidi w:val="0"/>
        <w:adjustRightInd w:val="0"/>
        <w:snapToGrid/>
        <w:spacing w:line="560" w:lineRule="exact"/>
        <w:ind w:firstLine="800" w:firstLineChars="250"/>
        <w:jc w:val="left"/>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 xml:space="preserve">本公司郑重承诺：本公司保证所提交的相关资质文件和证明材料的真实性，有良好的历史诚信记录，并将依法参与 </w:t>
      </w:r>
      <w:r>
        <w:rPr>
          <w:rFonts w:hint="default" w:ascii="Times New Roman" w:hAnsi="Times New Roman" w:eastAsia="仿宋_GB2312" w:cs="Times New Roman"/>
          <w:color w:val="auto"/>
          <w:sz w:val="32"/>
          <w:szCs w:val="32"/>
          <w:u w:val="single"/>
        </w:rPr>
        <w:t xml:space="preserve">  </w:t>
      </w:r>
      <w:r>
        <w:rPr>
          <w:rFonts w:hint="eastAsia" w:ascii="Times New Roman" w:hAnsi="Times New Roman" w:eastAsia="仿宋_GB2312" w:cs="Times New Roman"/>
          <w:color w:val="auto"/>
          <w:sz w:val="32"/>
          <w:szCs w:val="32"/>
          <w:u w:val="single"/>
          <w:lang w:val="en-US" w:eastAsia="zh-CN"/>
        </w:rPr>
        <w:t>广州市生态环境局荔湾环境监测站2026年监测任务外委项目</w:t>
      </w:r>
      <w:r>
        <w:rPr>
          <w:rFonts w:hint="default" w:ascii="Times New Roman" w:hAnsi="Times New Roman" w:eastAsia="仿宋_GB2312" w:cs="Times New Roman"/>
          <w:color w:val="auto"/>
          <w:sz w:val="32"/>
          <w:szCs w:val="32"/>
          <w:u w:val="single"/>
        </w:rPr>
        <w:t xml:space="preserve">   </w:t>
      </w:r>
      <w:r>
        <w:rPr>
          <w:rFonts w:hint="default" w:ascii="Times New Roman" w:hAnsi="Times New Roman" w:eastAsia="仿宋_GB2312" w:cs="Times New Roman"/>
          <w:color w:val="auto"/>
          <w:kern w:val="0"/>
          <w:sz w:val="32"/>
          <w:szCs w:val="32"/>
        </w:rPr>
        <w:t>的公平竞争，不以任何不正当行为谋取不当利益，否则承担相应的法律责任。</w:t>
      </w:r>
    </w:p>
    <w:p w14:paraId="00D2902F">
      <w:pPr>
        <w:keepNext w:val="0"/>
        <w:keepLines w:val="0"/>
        <w:pageBreakBefore w:val="0"/>
        <w:widowControl w:val="0"/>
        <w:kinsoku/>
        <w:overflowPunct/>
        <w:topLinePunct w:val="0"/>
        <w:autoSpaceDE w:val="0"/>
        <w:autoSpaceDN w:val="0"/>
        <w:bidi w:val="0"/>
        <w:adjustRightInd w:val="0"/>
        <w:snapToGrid/>
        <w:spacing w:line="560" w:lineRule="exact"/>
        <w:jc w:val="right"/>
        <w:rPr>
          <w:rFonts w:hint="default" w:ascii="Times New Roman" w:hAnsi="Times New Roman" w:eastAsia="仿宋_GB2312" w:cs="Times New Roman"/>
          <w:color w:val="auto"/>
          <w:kern w:val="0"/>
          <w:sz w:val="32"/>
          <w:szCs w:val="32"/>
        </w:rPr>
      </w:pPr>
    </w:p>
    <w:p w14:paraId="41AA8BBF">
      <w:pPr>
        <w:keepNext w:val="0"/>
        <w:keepLines w:val="0"/>
        <w:pageBreakBefore w:val="0"/>
        <w:widowControl w:val="0"/>
        <w:kinsoku/>
        <w:wordWrap w:val="0"/>
        <w:overflowPunct/>
        <w:topLinePunct w:val="0"/>
        <w:bidi w:val="0"/>
        <w:snapToGrid/>
        <w:spacing w:line="560" w:lineRule="exact"/>
        <w:ind w:right="900"/>
        <w:rPr>
          <w:rFonts w:hint="default" w:ascii="Times New Roman" w:hAnsi="Times New Roman" w:eastAsia="仿宋_GB2312" w:cs="Times New Roman"/>
          <w:color w:val="auto"/>
          <w:kern w:val="0"/>
          <w:sz w:val="32"/>
          <w:szCs w:val="32"/>
        </w:rPr>
      </w:pPr>
    </w:p>
    <w:p w14:paraId="2E3F6266">
      <w:pPr>
        <w:keepLines w:val="0"/>
        <w:pageBreakBefore w:val="0"/>
        <w:widowControl w:val="0"/>
        <w:kinsoku/>
        <w:wordWrap/>
        <w:overflowPunct/>
        <w:topLinePunct w:val="0"/>
        <w:autoSpaceDE/>
        <w:autoSpaceDN/>
        <w:bidi w:val="0"/>
        <w:adjustRightInd/>
        <w:snapToGrid/>
        <w:spacing w:line="560" w:lineRule="exact"/>
        <w:ind w:firstLine="640" w:firstLineChars="200"/>
        <w:jc w:val="left"/>
        <w:rPr>
          <w:rFonts w:hint="default" w:ascii="Times New Roman" w:hAnsi="Times New Roman" w:eastAsia="仿宋_GB2312" w:cs="Times New Roman"/>
          <w:i w:val="0"/>
          <w:iCs w:val="0"/>
          <w:color w:val="000000"/>
          <w:sz w:val="32"/>
          <w:szCs w:val="32"/>
          <w:u w:val="none"/>
        </w:rPr>
      </w:pPr>
      <w:r>
        <w:rPr>
          <w:rFonts w:hint="eastAsia" w:ascii="Times New Roman" w:hAnsi="Times New Roman" w:eastAsia="仿宋_GB2312" w:cs="Times New Roman"/>
          <w:color w:val="auto"/>
          <w:kern w:val="0"/>
          <w:sz w:val="32"/>
          <w:szCs w:val="32"/>
          <w:u w:val="single"/>
          <w:lang w:eastAsia="zh-CN"/>
        </w:rPr>
        <w:t>响应人</w:t>
      </w:r>
      <w:r>
        <w:rPr>
          <w:rFonts w:hint="default" w:ascii="Times New Roman" w:hAnsi="Times New Roman" w:eastAsia="仿宋_GB2312" w:cs="Times New Roman"/>
          <w:color w:val="auto"/>
          <w:sz w:val="32"/>
          <w:szCs w:val="32"/>
          <w:u w:val="single"/>
        </w:rPr>
        <w:t>全称</w:t>
      </w:r>
      <w:r>
        <w:rPr>
          <w:rFonts w:hint="default" w:ascii="Times New Roman" w:hAnsi="Times New Roman" w:eastAsia="仿宋_GB2312" w:cs="Times New Roman"/>
          <w:i w:val="0"/>
          <w:iCs w:val="0"/>
          <w:color w:val="000000"/>
          <w:sz w:val="32"/>
          <w:szCs w:val="32"/>
          <w:u w:val="none"/>
        </w:rPr>
        <w:t>（盖章）：</w:t>
      </w:r>
    </w:p>
    <w:p w14:paraId="20B70214">
      <w:pPr>
        <w:keepLines w:val="0"/>
        <w:pageBreakBefore w:val="0"/>
        <w:widowControl w:val="0"/>
        <w:kinsoku/>
        <w:wordWrap/>
        <w:overflowPunct/>
        <w:topLinePunct w:val="0"/>
        <w:autoSpaceDE/>
        <w:autoSpaceDN/>
        <w:bidi w:val="0"/>
        <w:adjustRightInd/>
        <w:snapToGrid/>
        <w:spacing w:line="560" w:lineRule="exact"/>
        <w:ind w:firstLine="640" w:firstLineChars="200"/>
        <w:jc w:val="left"/>
        <w:rPr>
          <w:rFonts w:hint="default" w:ascii="Times New Roman" w:hAnsi="Times New Roman" w:eastAsia="仿宋_GB2312" w:cs="Times New Roman"/>
          <w:i w:val="0"/>
          <w:iCs w:val="0"/>
          <w:color w:val="000000"/>
          <w:sz w:val="32"/>
          <w:szCs w:val="32"/>
          <w:u w:val="none"/>
        </w:rPr>
      </w:pPr>
    </w:p>
    <w:p w14:paraId="28AF9832">
      <w:pPr>
        <w:keepLines w:val="0"/>
        <w:pageBreakBefore w:val="0"/>
        <w:widowControl w:val="0"/>
        <w:kinsoku/>
        <w:wordWrap/>
        <w:overflowPunct/>
        <w:topLinePunct w:val="0"/>
        <w:autoSpaceDE/>
        <w:autoSpaceDN/>
        <w:bidi w:val="0"/>
        <w:adjustRightInd/>
        <w:snapToGrid/>
        <w:spacing w:line="560" w:lineRule="exact"/>
        <w:ind w:firstLine="640" w:firstLineChars="200"/>
        <w:jc w:val="left"/>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sz w:val="32"/>
          <w:szCs w:val="32"/>
          <w:u w:val="none"/>
        </w:rPr>
        <w:t>日期：</w:t>
      </w:r>
    </w:p>
    <w:p w14:paraId="5F553C29">
      <w:pPr>
        <w:rPr>
          <w:rFonts w:hint="eastAsia" w:ascii="宋体" w:hAnsi="宋体"/>
          <w:color w:val="auto"/>
          <w:szCs w:val="21"/>
        </w:rPr>
      </w:pPr>
      <w:r>
        <w:rPr>
          <w:rFonts w:hint="eastAsia" w:ascii="宋体" w:hAnsi="宋体"/>
          <w:color w:val="auto"/>
          <w:szCs w:val="21"/>
        </w:rPr>
        <w:br w:type="page"/>
      </w:r>
    </w:p>
    <w:p w14:paraId="5792D73E">
      <w:pPr>
        <w:keepNext w:val="0"/>
        <w:keepLines w:val="0"/>
        <w:pageBreakBefore w:val="0"/>
        <w:widowControl/>
        <w:kinsoku/>
        <w:wordWrap/>
        <w:overflowPunct/>
        <w:topLinePunct w:val="0"/>
        <w:autoSpaceDN/>
        <w:bidi w:val="0"/>
        <w:spacing w:line="560" w:lineRule="exact"/>
        <w:jc w:val="both"/>
        <w:rPr>
          <w:rFonts w:hint="eastAsia" w:ascii="Times New Roman" w:hAnsi="Times New Roman" w:eastAsia="黑体" w:cs="Times New Roman"/>
          <w:b w:val="0"/>
          <w:bCs w:val="0"/>
          <w:color w:val="auto"/>
          <w:sz w:val="32"/>
          <w:szCs w:val="32"/>
          <w:lang w:val="en-US" w:eastAsia="zh-CN"/>
        </w:rPr>
      </w:pPr>
      <w:r>
        <w:rPr>
          <w:rFonts w:hint="eastAsia" w:ascii="Times New Roman" w:hAnsi="Times New Roman" w:eastAsia="黑体" w:cs="Times New Roman"/>
          <w:b w:val="0"/>
          <w:bCs w:val="0"/>
          <w:color w:val="auto"/>
          <w:sz w:val="32"/>
          <w:szCs w:val="32"/>
          <w:lang w:val="en-US" w:eastAsia="zh-CN"/>
        </w:rPr>
        <w:t xml:space="preserve">附件2  </w:t>
      </w:r>
    </w:p>
    <w:p w14:paraId="7C0FD78B">
      <w:pPr>
        <w:spacing w:line="360" w:lineRule="auto"/>
        <w:jc w:val="center"/>
        <w:outlineLvl w:val="1"/>
        <w:rPr>
          <w:rFonts w:hint="eastAsia" w:ascii="国标小标宋" w:hAnsi="国标小标宋" w:eastAsia="国标小标宋" w:cs="国标小标宋"/>
          <w:b w:val="0"/>
          <w:bCs/>
          <w:color w:val="auto"/>
          <w:kern w:val="2"/>
          <w:sz w:val="44"/>
          <w:szCs w:val="44"/>
          <w:lang w:val="en-US" w:eastAsia="zh-CN" w:bidi="ar-SA"/>
        </w:rPr>
      </w:pPr>
      <w:r>
        <w:rPr>
          <w:rFonts w:hint="eastAsia" w:ascii="国标小标宋" w:hAnsi="国标小标宋" w:eastAsia="国标小标宋" w:cs="国标小标宋"/>
          <w:b w:val="0"/>
          <w:bCs/>
          <w:color w:val="auto"/>
          <w:kern w:val="2"/>
          <w:sz w:val="44"/>
          <w:szCs w:val="44"/>
          <w:lang w:val="en-US" w:eastAsia="zh-CN" w:bidi="ar-SA"/>
        </w:rPr>
        <w:t>评审细则</w:t>
      </w:r>
    </w:p>
    <w:p w14:paraId="4EBFC766">
      <w:pPr>
        <w:spacing w:line="300" w:lineRule="auto"/>
        <w:jc w:val="center"/>
        <w:rPr>
          <w:rFonts w:hint="eastAsia" w:ascii="黑体" w:hAnsi="宋体" w:eastAsia="黑体"/>
          <w:b/>
          <w:color w:val="auto"/>
          <w:szCs w:val="21"/>
        </w:rPr>
      </w:pPr>
    </w:p>
    <w:p w14:paraId="45C64388">
      <w:pPr>
        <w:spacing w:line="300" w:lineRule="auto"/>
        <w:jc w:val="center"/>
        <w:rPr>
          <w:rFonts w:hint="eastAsia" w:ascii="黑体" w:hAnsi="宋体" w:eastAsia="黑体"/>
          <w:b/>
          <w:color w:val="auto"/>
          <w:szCs w:val="21"/>
        </w:rPr>
      </w:pPr>
      <w:r>
        <w:rPr>
          <w:rFonts w:hint="eastAsia" w:ascii="黑体" w:hAnsi="宋体" w:eastAsia="黑体"/>
          <w:b/>
          <w:color w:val="auto"/>
          <w:szCs w:val="21"/>
        </w:rPr>
        <w:t>资格性审查表</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6"/>
        <w:gridCol w:w="6143"/>
        <w:gridCol w:w="677"/>
        <w:gridCol w:w="671"/>
        <w:gridCol w:w="721"/>
      </w:tblGrid>
      <w:tr w14:paraId="34DA5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866" w:type="dxa"/>
            <w:noWrap w:val="0"/>
            <w:vAlign w:val="center"/>
          </w:tcPr>
          <w:p w14:paraId="600A4EF8">
            <w:pPr>
              <w:adjustRightInd w:val="0"/>
              <w:snapToGrid w:val="0"/>
              <w:spacing w:line="360" w:lineRule="auto"/>
              <w:jc w:val="center"/>
              <w:rPr>
                <w:rFonts w:hint="eastAsia" w:ascii="宋体" w:hAnsi="宋体"/>
                <w:b/>
                <w:color w:val="auto"/>
                <w:sz w:val="21"/>
                <w:szCs w:val="21"/>
              </w:rPr>
            </w:pPr>
            <w:r>
              <w:rPr>
                <w:rFonts w:hint="eastAsia" w:ascii="宋体" w:hAnsi="宋体"/>
                <w:b/>
                <w:color w:val="auto"/>
                <w:sz w:val="21"/>
                <w:szCs w:val="21"/>
              </w:rPr>
              <w:t>序号</w:t>
            </w:r>
          </w:p>
        </w:tc>
        <w:tc>
          <w:tcPr>
            <w:tcW w:w="6143" w:type="dxa"/>
            <w:noWrap w:val="0"/>
            <w:vAlign w:val="center"/>
          </w:tcPr>
          <w:p w14:paraId="4CA67525">
            <w:pPr>
              <w:adjustRightInd w:val="0"/>
              <w:snapToGrid w:val="0"/>
              <w:spacing w:line="360" w:lineRule="auto"/>
              <w:jc w:val="center"/>
              <w:rPr>
                <w:rFonts w:hint="eastAsia" w:ascii="宋体" w:hAnsi="宋体"/>
                <w:b/>
                <w:color w:val="auto"/>
                <w:sz w:val="21"/>
                <w:szCs w:val="21"/>
              </w:rPr>
            </w:pPr>
            <w:r>
              <w:rPr>
                <w:rFonts w:hint="eastAsia" w:ascii="宋体" w:hAnsi="宋体" w:cs="宋体"/>
                <w:b/>
                <w:color w:val="auto"/>
                <w:sz w:val="21"/>
                <w:szCs w:val="21"/>
                <w:lang w:val="en-US" w:eastAsia="zh-CN"/>
              </w:rPr>
              <w:t>审查</w:t>
            </w:r>
            <w:r>
              <w:rPr>
                <w:rFonts w:hint="eastAsia" w:ascii="宋体" w:hAnsi="宋体" w:cs="宋体"/>
                <w:b/>
                <w:color w:val="auto"/>
                <w:sz w:val="21"/>
                <w:szCs w:val="21"/>
              </w:rPr>
              <w:t>内容</w:t>
            </w:r>
          </w:p>
        </w:tc>
        <w:tc>
          <w:tcPr>
            <w:tcW w:w="677" w:type="dxa"/>
            <w:noWrap w:val="0"/>
            <w:vAlign w:val="center"/>
          </w:tcPr>
          <w:p w14:paraId="7B4F82CF">
            <w:pPr>
              <w:spacing w:line="360" w:lineRule="auto"/>
              <w:jc w:val="center"/>
              <w:rPr>
                <w:rFonts w:hint="eastAsia" w:ascii="宋体" w:hAnsi="宋体"/>
                <w:b/>
                <w:color w:val="auto"/>
                <w:sz w:val="21"/>
                <w:szCs w:val="21"/>
              </w:rPr>
            </w:pPr>
            <w:r>
              <w:rPr>
                <w:rFonts w:hint="eastAsia" w:ascii="宋体" w:hAnsi="宋体"/>
                <w:b/>
                <w:color w:val="auto"/>
                <w:sz w:val="21"/>
                <w:szCs w:val="21"/>
              </w:rPr>
              <w:t>A</w:t>
            </w:r>
          </w:p>
        </w:tc>
        <w:tc>
          <w:tcPr>
            <w:tcW w:w="671" w:type="dxa"/>
            <w:noWrap w:val="0"/>
            <w:vAlign w:val="center"/>
          </w:tcPr>
          <w:p w14:paraId="2D39AC4F">
            <w:pPr>
              <w:spacing w:line="360" w:lineRule="auto"/>
              <w:jc w:val="center"/>
              <w:rPr>
                <w:rFonts w:hint="eastAsia" w:ascii="宋体" w:hAnsi="宋体"/>
                <w:b/>
                <w:color w:val="auto"/>
                <w:sz w:val="21"/>
                <w:szCs w:val="21"/>
              </w:rPr>
            </w:pPr>
            <w:r>
              <w:rPr>
                <w:rFonts w:hint="eastAsia" w:ascii="宋体" w:hAnsi="宋体"/>
                <w:b/>
                <w:color w:val="auto"/>
                <w:sz w:val="21"/>
                <w:szCs w:val="21"/>
              </w:rPr>
              <w:t>B</w:t>
            </w:r>
          </w:p>
        </w:tc>
        <w:tc>
          <w:tcPr>
            <w:tcW w:w="721" w:type="dxa"/>
            <w:noWrap w:val="0"/>
            <w:vAlign w:val="center"/>
          </w:tcPr>
          <w:p w14:paraId="34E0EA3F">
            <w:pPr>
              <w:spacing w:line="360" w:lineRule="auto"/>
              <w:jc w:val="center"/>
              <w:rPr>
                <w:rFonts w:hint="eastAsia" w:ascii="宋体" w:hAnsi="宋体"/>
                <w:b/>
                <w:color w:val="auto"/>
                <w:sz w:val="21"/>
                <w:szCs w:val="21"/>
              </w:rPr>
            </w:pPr>
            <w:r>
              <w:rPr>
                <w:rFonts w:hint="eastAsia" w:ascii="宋体" w:hAnsi="宋体"/>
                <w:b/>
                <w:color w:val="auto"/>
                <w:sz w:val="21"/>
                <w:szCs w:val="21"/>
              </w:rPr>
              <w:t>C</w:t>
            </w:r>
          </w:p>
        </w:tc>
      </w:tr>
      <w:tr w14:paraId="7F543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866" w:type="dxa"/>
            <w:noWrap w:val="0"/>
            <w:vAlign w:val="center"/>
          </w:tcPr>
          <w:p w14:paraId="1E5169BB">
            <w:pPr>
              <w:spacing w:line="360" w:lineRule="auto"/>
              <w:jc w:val="center"/>
              <w:rPr>
                <w:rFonts w:hint="default" w:ascii="宋体" w:hAnsi="宋体" w:eastAsia="宋体"/>
                <w:color w:val="auto"/>
                <w:sz w:val="21"/>
                <w:szCs w:val="21"/>
                <w:lang w:val="en-US" w:eastAsia="zh-CN"/>
              </w:rPr>
            </w:pPr>
            <w:r>
              <w:rPr>
                <w:rFonts w:hint="eastAsia" w:ascii="宋体" w:hAnsi="宋体"/>
                <w:color w:val="auto"/>
                <w:sz w:val="21"/>
                <w:szCs w:val="21"/>
                <w:lang w:val="en-US" w:eastAsia="zh-CN"/>
              </w:rPr>
              <w:t>1</w:t>
            </w:r>
          </w:p>
        </w:tc>
        <w:tc>
          <w:tcPr>
            <w:tcW w:w="6143" w:type="dxa"/>
            <w:noWrap w:val="0"/>
            <w:vAlign w:val="center"/>
          </w:tcPr>
          <w:p w14:paraId="289CF521">
            <w:pPr>
              <w:pStyle w:val="16"/>
              <w:keepNext w:val="0"/>
              <w:keepLines w:val="0"/>
              <w:pageBreakBefore w:val="0"/>
              <w:widowControl w:val="0"/>
              <w:kinsoku/>
              <w:wordWrap/>
              <w:overflowPunct/>
              <w:topLinePunct w:val="0"/>
              <w:autoSpaceDE/>
              <w:autoSpaceDN/>
              <w:bidi w:val="0"/>
              <w:adjustRightInd w:val="0"/>
              <w:snapToGrid/>
              <w:spacing w:line="240" w:lineRule="auto"/>
              <w:ind w:left="0" w:leftChars="0"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kern w:val="0"/>
                <w:sz w:val="21"/>
                <w:szCs w:val="21"/>
              </w:rPr>
              <w:t>在中华人民共和国境内注册的法人或其他组织或自然人</w:t>
            </w:r>
            <w:r>
              <w:rPr>
                <w:rFonts w:hint="eastAsia" w:ascii="宋体" w:hAnsi="宋体" w:cs="宋体"/>
                <w:kern w:val="0"/>
                <w:sz w:val="21"/>
                <w:szCs w:val="21"/>
                <w:lang w:eastAsia="zh-CN"/>
              </w:rPr>
              <w:t>。（</w:t>
            </w:r>
            <w:r>
              <w:rPr>
                <w:rFonts w:hint="eastAsia" w:ascii="宋体" w:hAnsi="宋体" w:eastAsia="宋体" w:cs="宋体"/>
                <w:b/>
                <w:bCs/>
                <w:kern w:val="0"/>
                <w:sz w:val="21"/>
                <w:szCs w:val="21"/>
              </w:rPr>
              <w:t>提交有效的营业执照（或事业法人登记证或身份证等相关证明） 副本复印件。分支机构投标的，须提供总公司和分公司营业执照副本复印件，总公司出具给分支机构的授权书</w:t>
            </w:r>
            <w:r>
              <w:rPr>
                <w:rFonts w:hint="eastAsia" w:ascii="宋体" w:hAnsi="宋体" w:eastAsia="宋体" w:cs="宋体"/>
                <w:kern w:val="0"/>
                <w:sz w:val="21"/>
                <w:szCs w:val="21"/>
              </w:rPr>
              <w:t>。</w:t>
            </w:r>
            <w:r>
              <w:rPr>
                <w:rFonts w:hint="eastAsia" w:ascii="宋体" w:hAnsi="宋体" w:cs="宋体"/>
                <w:kern w:val="0"/>
                <w:sz w:val="21"/>
                <w:szCs w:val="21"/>
                <w:lang w:eastAsia="zh-CN"/>
              </w:rPr>
              <w:t>）</w:t>
            </w:r>
          </w:p>
        </w:tc>
        <w:tc>
          <w:tcPr>
            <w:tcW w:w="677" w:type="dxa"/>
            <w:noWrap w:val="0"/>
            <w:vAlign w:val="center"/>
          </w:tcPr>
          <w:p w14:paraId="397DDDFB">
            <w:pPr>
              <w:spacing w:line="360" w:lineRule="auto"/>
              <w:jc w:val="center"/>
              <w:rPr>
                <w:rFonts w:ascii="宋体" w:hAnsi="宋体"/>
                <w:color w:val="auto"/>
                <w:sz w:val="21"/>
                <w:szCs w:val="21"/>
              </w:rPr>
            </w:pPr>
          </w:p>
        </w:tc>
        <w:tc>
          <w:tcPr>
            <w:tcW w:w="671" w:type="dxa"/>
            <w:noWrap w:val="0"/>
            <w:vAlign w:val="center"/>
          </w:tcPr>
          <w:p w14:paraId="1E546C54">
            <w:pPr>
              <w:spacing w:line="360" w:lineRule="auto"/>
              <w:jc w:val="center"/>
              <w:rPr>
                <w:rFonts w:ascii="宋体" w:hAnsi="宋体"/>
                <w:color w:val="auto"/>
                <w:sz w:val="21"/>
                <w:szCs w:val="21"/>
              </w:rPr>
            </w:pPr>
          </w:p>
        </w:tc>
        <w:tc>
          <w:tcPr>
            <w:tcW w:w="721" w:type="dxa"/>
            <w:noWrap w:val="0"/>
            <w:vAlign w:val="center"/>
          </w:tcPr>
          <w:p w14:paraId="756577AA">
            <w:pPr>
              <w:spacing w:line="360" w:lineRule="auto"/>
              <w:jc w:val="center"/>
              <w:rPr>
                <w:rFonts w:ascii="宋体" w:hAnsi="宋体"/>
                <w:color w:val="auto"/>
                <w:sz w:val="21"/>
                <w:szCs w:val="21"/>
              </w:rPr>
            </w:pPr>
          </w:p>
        </w:tc>
      </w:tr>
      <w:tr w14:paraId="4A087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866" w:type="dxa"/>
            <w:noWrap w:val="0"/>
            <w:vAlign w:val="center"/>
          </w:tcPr>
          <w:p w14:paraId="47B9E1E9">
            <w:pPr>
              <w:spacing w:line="360" w:lineRule="auto"/>
              <w:jc w:val="center"/>
              <w:rPr>
                <w:rFonts w:hint="default" w:ascii="宋体" w:hAnsi="宋体"/>
                <w:color w:val="auto"/>
                <w:sz w:val="21"/>
                <w:szCs w:val="21"/>
                <w:lang w:val="en-US" w:eastAsia="zh-CN"/>
              </w:rPr>
            </w:pPr>
            <w:r>
              <w:rPr>
                <w:rFonts w:hint="eastAsia" w:ascii="宋体" w:hAnsi="宋体"/>
                <w:color w:val="auto"/>
                <w:sz w:val="21"/>
                <w:szCs w:val="21"/>
                <w:lang w:val="en-US" w:eastAsia="zh-CN"/>
              </w:rPr>
              <w:t>2</w:t>
            </w:r>
          </w:p>
        </w:tc>
        <w:tc>
          <w:tcPr>
            <w:tcW w:w="6143" w:type="dxa"/>
            <w:noWrap w:val="0"/>
            <w:vAlign w:val="center"/>
          </w:tcPr>
          <w:p w14:paraId="1551B11B">
            <w:pPr>
              <w:keepNext w:val="0"/>
              <w:keepLines w:val="0"/>
              <w:pageBreakBefore w:val="0"/>
              <w:widowControl w:val="0"/>
              <w:tabs>
                <w:tab w:val="left" w:pos="612"/>
              </w:tabs>
              <w:kinsoku/>
              <w:wordWrap/>
              <w:overflowPunct/>
              <w:topLinePunct w:val="0"/>
              <w:autoSpaceDE/>
              <w:autoSpaceDN/>
              <w:bidi w:val="0"/>
              <w:snapToGrid/>
              <w:spacing w:line="240" w:lineRule="auto"/>
              <w:ind w:firstLine="420" w:firstLineChars="200"/>
              <w:textAlignment w:val="auto"/>
              <w:rPr>
                <w:rFonts w:hint="eastAsia" w:ascii="宋体" w:hAnsi="宋体" w:cs="宋体"/>
                <w:color w:val="auto"/>
                <w:sz w:val="21"/>
                <w:szCs w:val="21"/>
              </w:rPr>
            </w:pPr>
            <w:r>
              <w:rPr>
                <w:rFonts w:hint="eastAsia" w:ascii="宋体" w:hAnsi="宋体" w:eastAsia="宋体" w:cs="宋体"/>
                <w:kern w:val="0"/>
                <w:sz w:val="21"/>
                <w:szCs w:val="21"/>
              </w:rPr>
              <w:t>有依法缴纳税收和社会保障资金的良好记录</w:t>
            </w:r>
            <w:r>
              <w:rPr>
                <w:rFonts w:hint="eastAsia" w:ascii="宋体" w:hAnsi="宋体" w:eastAsia="宋体" w:cs="宋体"/>
                <w:kern w:val="0"/>
                <w:sz w:val="21"/>
                <w:szCs w:val="21"/>
                <w:lang w:eastAsia="zh-CN"/>
              </w:rPr>
              <w:t>。（</w:t>
            </w:r>
            <w:r>
              <w:rPr>
                <w:rFonts w:hint="eastAsia" w:ascii="宋体" w:hAnsi="宋体" w:eastAsia="宋体" w:cs="宋体"/>
                <w:b/>
                <w:bCs/>
                <w:kern w:val="0"/>
                <w:sz w:val="21"/>
                <w:szCs w:val="21"/>
              </w:rPr>
              <w:t>提供签署及盖章的</w:t>
            </w:r>
            <w:r>
              <w:rPr>
                <w:rFonts w:hint="eastAsia" w:ascii="宋体" w:hAnsi="宋体" w:eastAsia="宋体" w:cs="宋体"/>
                <w:b/>
                <w:bCs/>
                <w:kern w:val="0"/>
                <w:sz w:val="21"/>
                <w:szCs w:val="21"/>
                <w:lang w:val="en-US" w:eastAsia="zh-CN"/>
              </w:rPr>
              <w:t>响应承诺函，格式自拟。）</w:t>
            </w:r>
          </w:p>
        </w:tc>
        <w:tc>
          <w:tcPr>
            <w:tcW w:w="677" w:type="dxa"/>
            <w:noWrap w:val="0"/>
            <w:vAlign w:val="center"/>
          </w:tcPr>
          <w:p w14:paraId="2B38D661">
            <w:pPr>
              <w:spacing w:line="360" w:lineRule="auto"/>
              <w:jc w:val="center"/>
              <w:rPr>
                <w:rFonts w:ascii="宋体" w:hAnsi="宋体"/>
                <w:color w:val="auto"/>
                <w:sz w:val="21"/>
                <w:szCs w:val="21"/>
              </w:rPr>
            </w:pPr>
          </w:p>
        </w:tc>
        <w:tc>
          <w:tcPr>
            <w:tcW w:w="671" w:type="dxa"/>
            <w:noWrap w:val="0"/>
            <w:vAlign w:val="center"/>
          </w:tcPr>
          <w:p w14:paraId="24425DA3">
            <w:pPr>
              <w:spacing w:line="360" w:lineRule="auto"/>
              <w:jc w:val="center"/>
              <w:rPr>
                <w:rFonts w:ascii="宋体" w:hAnsi="宋体"/>
                <w:color w:val="auto"/>
                <w:sz w:val="21"/>
                <w:szCs w:val="21"/>
              </w:rPr>
            </w:pPr>
          </w:p>
        </w:tc>
        <w:tc>
          <w:tcPr>
            <w:tcW w:w="721" w:type="dxa"/>
            <w:noWrap w:val="0"/>
            <w:vAlign w:val="center"/>
          </w:tcPr>
          <w:p w14:paraId="44C0755D">
            <w:pPr>
              <w:spacing w:line="360" w:lineRule="auto"/>
              <w:jc w:val="center"/>
              <w:rPr>
                <w:rFonts w:ascii="宋体" w:hAnsi="宋体"/>
                <w:color w:val="auto"/>
                <w:sz w:val="21"/>
                <w:szCs w:val="21"/>
              </w:rPr>
            </w:pPr>
          </w:p>
        </w:tc>
      </w:tr>
      <w:tr w14:paraId="51BD0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trPr>
        <w:tc>
          <w:tcPr>
            <w:tcW w:w="866" w:type="dxa"/>
            <w:noWrap w:val="0"/>
            <w:vAlign w:val="center"/>
          </w:tcPr>
          <w:p w14:paraId="16DA1EA3">
            <w:pPr>
              <w:spacing w:line="360" w:lineRule="auto"/>
              <w:jc w:val="center"/>
              <w:rPr>
                <w:rFonts w:hint="default" w:ascii="宋体" w:hAnsi="宋体"/>
                <w:color w:val="auto"/>
                <w:sz w:val="21"/>
                <w:szCs w:val="21"/>
                <w:lang w:val="en-US" w:eastAsia="zh-CN"/>
              </w:rPr>
            </w:pPr>
            <w:r>
              <w:rPr>
                <w:rFonts w:hint="eastAsia" w:ascii="宋体" w:hAnsi="宋体"/>
                <w:color w:val="auto"/>
                <w:sz w:val="21"/>
                <w:szCs w:val="21"/>
                <w:lang w:val="en-US" w:eastAsia="zh-CN"/>
              </w:rPr>
              <w:t>3</w:t>
            </w:r>
          </w:p>
        </w:tc>
        <w:tc>
          <w:tcPr>
            <w:tcW w:w="6143" w:type="dxa"/>
            <w:noWrap w:val="0"/>
            <w:vAlign w:val="center"/>
          </w:tcPr>
          <w:p w14:paraId="2518DC39">
            <w:pPr>
              <w:keepNext w:val="0"/>
              <w:keepLines w:val="0"/>
              <w:pageBreakBefore w:val="0"/>
              <w:widowControl w:val="0"/>
              <w:tabs>
                <w:tab w:val="left" w:pos="612"/>
              </w:tabs>
              <w:kinsoku/>
              <w:wordWrap/>
              <w:overflowPunct/>
              <w:topLinePunct w:val="0"/>
              <w:autoSpaceDE/>
              <w:autoSpaceDN/>
              <w:bidi w:val="0"/>
              <w:adjustRightInd w:val="0"/>
              <w:snapToGrid w:val="0"/>
              <w:spacing w:line="240" w:lineRule="auto"/>
              <w:ind w:firstLine="420" w:firstLineChars="200"/>
              <w:textAlignment w:val="auto"/>
              <w:rPr>
                <w:rFonts w:hint="eastAsia" w:ascii="宋体" w:hAnsi="宋体" w:eastAsia="宋体" w:cs="宋体"/>
                <w:kern w:val="0"/>
                <w:sz w:val="21"/>
                <w:szCs w:val="21"/>
              </w:rPr>
            </w:pPr>
            <w:r>
              <w:rPr>
                <w:rFonts w:hint="eastAsia" w:ascii="宋体" w:hAnsi="宋体" w:eastAsia="宋体" w:cs="宋体"/>
                <w:kern w:val="0"/>
                <w:sz w:val="21"/>
                <w:szCs w:val="21"/>
              </w:rPr>
              <w:t>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w:t>
            </w:r>
            <w:r>
              <w:rPr>
                <w:rFonts w:hint="eastAsia" w:ascii="宋体" w:hAnsi="宋体" w:eastAsia="宋体" w:cs="宋体"/>
                <w:b/>
                <w:bCs/>
                <w:kern w:val="0"/>
                <w:sz w:val="21"/>
                <w:szCs w:val="21"/>
              </w:rPr>
              <w:t>（</w:t>
            </w:r>
            <w:r>
              <w:rPr>
                <w:rFonts w:hint="eastAsia" w:ascii="宋体" w:hAnsi="宋体" w:eastAsia="宋体" w:cs="宋体"/>
                <w:b/>
                <w:bCs/>
                <w:kern w:val="0"/>
                <w:sz w:val="21"/>
                <w:szCs w:val="21"/>
                <w:lang w:val="en-US" w:eastAsia="zh-CN"/>
              </w:rPr>
              <w:t>以本公告发布之日后在</w:t>
            </w:r>
            <w:r>
              <w:rPr>
                <w:rFonts w:hint="eastAsia" w:ascii="宋体" w:hAnsi="宋体" w:eastAsia="宋体" w:cs="宋体"/>
                <w:b/>
                <w:bCs/>
                <w:kern w:val="0"/>
                <w:sz w:val="21"/>
                <w:szCs w:val="21"/>
              </w:rPr>
              <w:t>“信用中国”网站（www.creditchina.gov.cn）及中国政府采购网（http://www.ccgp.gov.cn/）查询结果为准，如相关失信记录已失效，供应商需提供相关证明资料）</w:t>
            </w:r>
            <w:r>
              <w:rPr>
                <w:rFonts w:hint="eastAsia" w:ascii="宋体" w:hAnsi="宋体" w:eastAsia="宋体" w:cs="宋体"/>
                <w:kern w:val="0"/>
                <w:sz w:val="21"/>
                <w:szCs w:val="21"/>
              </w:rPr>
              <w:t>。</w:t>
            </w:r>
          </w:p>
        </w:tc>
        <w:tc>
          <w:tcPr>
            <w:tcW w:w="677" w:type="dxa"/>
            <w:noWrap w:val="0"/>
            <w:vAlign w:val="center"/>
          </w:tcPr>
          <w:p w14:paraId="3686D44E">
            <w:pPr>
              <w:spacing w:line="360" w:lineRule="auto"/>
              <w:jc w:val="center"/>
              <w:rPr>
                <w:rFonts w:ascii="宋体" w:hAnsi="宋体"/>
                <w:color w:val="auto"/>
                <w:sz w:val="21"/>
                <w:szCs w:val="21"/>
              </w:rPr>
            </w:pPr>
          </w:p>
        </w:tc>
        <w:tc>
          <w:tcPr>
            <w:tcW w:w="671" w:type="dxa"/>
            <w:noWrap w:val="0"/>
            <w:vAlign w:val="center"/>
          </w:tcPr>
          <w:p w14:paraId="5677AD88">
            <w:pPr>
              <w:spacing w:line="360" w:lineRule="auto"/>
              <w:jc w:val="center"/>
              <w:rPr>
                <w:rFonts w:ascii="宋体" w:hAnsi="宋体"/>
                <w:color w:val="auto"/>
                <w:sz w:val="21"/>
                <w:szCs w:val="21"/>
              </w:rPr>
            </w:pPr>
          </w:p>
        </w:tc>
        <w:tc>
          <w:tcPr>
            <w:tcW w:w="721" w:type="dxa"/>
            <w:noWrap w:val="0"/>
            <w:vAlign w:val="center"/>
          </w:tcPr>
          <w:p w14:paraId="24702EED">
            <w:pPr>
              <w:spacing w:line="360" w:lineRule="auto"/>
              <w:jc w:val="center"/>
              <w:rPr>
                <w:rFonts w:ascii="宋体" w:hAnsi="宋体"/>
                <w:color w:val="auto"/>
                <w:sz w:val="21"/>
                <w:szCs w:val="21"/>
              </w:rPr>
            </w:pPr>
          </w:p>
        </w:tc>
      </w:tr>
      <w:tr w14:paraId="13BD2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2" w:hRule="atLeast"/>
        </w:trPr>
        <w:tc>
          <w:tcPr>
            <w:tcW w:w="866" w:type="dxa"/>
            <w:noWrap w:val="0"/>
            <w:vAlign w:val="center"/>
          </w:tcPr>
          <w:p w14:paraId="2C668346">
            <w:pPr>
              <w:spacing w:line="360" w:lineRule="auto"/>
              <w:jc w:val="center"/>
              <w:rPr>
                <w:rFonts w:hint="default" w:ascii="宋体" w:hAnsi="宋体"/>
                <w:color w:val="auto"/>
                <w:sz w:val="21"/>
                <w:szCs w:val="21"/>
                <w:lang w:val="en-US" w:eastAsia="zh-CN"/>
              </w:rPr>
            </w:pPr>
            <w:r>
              <w:rPr>
                <w:rFonts w:hint="eastAsia" w:ascii="宋体" w:hAnsi="宋体"/>
                <w:color w:val="auto"/>
                <w:sz w:val="21"/>
                <w:szCs w:val="21"/>
                <w:lang w:val="en-US" w:eastAsia="zh-CN"/>
              </w:rPr>
              <w:t>4</w:t>
            </w:r>
          </w:p>
        </w:tc>
        <w:tc>
          <w:tcPr>
            <w:tcW w:w="6143" w:type="dxa"/>
            <w:noWrap w:val="0"/>
            <w:vAlign w:val="center"/>
          </w:tcPr>
          <w:p w14:paraId="59EDC1FD">
            <w:pPr>
              <w:keepNext w:val="0"/>
              <w:keepLines w:val="0"/>
              <w:pageBreakBefore w:val="0"/>
              <w:widowControl w:val="0"/>
              <w:tabs>
                <w:tab w:val="left" w:pos="612"/>
              </w:tabs>
              <w:kinsoku/>
              <w:wordWrap/>
              <w:overflowPunct/>
              <w:topLinePunct w:val="0"/>
              <w:autoSpaceDE/>
              <w:autoSpaceDN/>
              <w:bidi w:val="0"/>
              <w:snapToGrid/>
              <w:spacing w:line="240" w:lineRule="auto"/>
              <w:ind w:firstLine="420" w:firstLineChars="200"/>
              <w:textAlignment w:val="auto"/>
              <w:rPr>
                <w:rFonts w:hint="eastAsia" w:ascii="宋体" w:hAnsi="宋体" w:eastAsia="宋体" w:cs="宋体"/>
                <w:kern w:val="0"/>
                <w:sz w:val="21"/>
                <w:szCs w:val="21"/>
              </w:rPr>
            </w:pPr>
            <w:r>
              <w:rPr>
                <w:rFonts w:hint="eastAsia" w:ascii="宋体" w:hAnsi="宋体" w:eastAsia="宋体" w:cs="宋体"/>
                <w:kern w:val="0"/>
                <w:sz w:val="21"/>
                <w:szCs w:val="21"/>
              </w:rPr>
              <w:t>单位负责人为同一人或者存在直接控股、 管理关系的不同供应商，不得同时参加本采购项目（或采购包） 投标（响应）。 为本项目提供整体设计、规范编制或者项目管理、监理、 检测等服务的供应商，不得再参与本项目投标（响应）。</w:t>
            </w:r>
            <w:r>
              <w:rPr>
                <w:rFonts w:hint="eastAsia" w:ascii="宋体" w:hAnsi="宋体" w:eastAsia="宋体" w:cs="宋体"/>
                <w:kern w:val="0"/>
                <w:sz w:val="21"/>
                <w:szCs w:val="21"/>
                <w:lang w:eastAsia="zh-CN"/>
              </w:rPr>
              <w:t>（</w:t>
            </w:r>
            <w:r>
              <w:rPr>
                <w:rFonts w:hint="eastAsia" w:ascii="宋体" w:hAnsi="宋体" w:eastAsia="宋体" w:cs="宋体"/>
                <w:b/>
                <w:bCs/>
                <w:kern w:val="0"/>
                <w:sz w:val="21"/>
                <w:szCs w:val="21"/>
                <w:lang w:eastAsia="zh-CN"/>
              </w:rPr>
              <w:t>提供</w:t>
            </w:r>
            <w:r>
              <w:rPr>
                <w:rFonts w:hint="eastAsia" w:ascii="宋体" w:hAnsi="宋体" w:eastAsia="宋体" w:cs="宋体"/>
                <w:b/>
                <w:bCs/>
                <w:kern w:val="0"/>
                <w:sz w:val="21"/>
                <w:szCs w:val="21"/>
              </w:rPr>
              <w:t>承诺函</w:t>
            </w:r>
            <w:r>
              <w:rPr>
                <w:rFonts w:hint="eastAsia" w:ascii="宋体" w:hAnsi="宋体" w:eastAsia="宋体" w:cs="宋体"/>
                <w:b/>
                <w:bCs/>
                <w:kern w:val="0"/>
                <w:sz w:val="21"/>
                <w:szCs w:val="21"/>
                <w:lang w:eastAsia="zh-CN"/>
              </w:rPr>
              <w:t>，格式自拟）</w:t>
            </w:r>
          </w:p>
        </w:tc>
        <w:tc>
          <w:tcPr>
            <w:tcW w:w="677" w:type="dxa"/>
            <w:noWrap w:val="0"/>
            <w:vAlign w:val="center"/>
          </w:tcPr>
          <w:p w14:paraId="322BB1D7">
            <w:pPr>
              <w:spacing w:line="360" w:lineRule="auto"/>
              <w:jc w:val="center"/>
              <w:rPr>
                <w:rFonts w:ascii="宋体" w:hAnsi="宋体"/>
                <w:color w:val="auto"/>
                <w:sz w:val="21"/>
                <w:szCs w:val="21"/>
              </w:rPr>
            </w:pPr>
          </w:p>
        </w:tc>
        <w:tc>
          <w:tcPr>
            <w:tcW w:w="671" w:type="dxa"/>
            <w:noWrap w:val="0"/>
            <w:vAlign w:val="center"/>
          </w:tcPr>
          <w:p w14:paraId="5131B8AD">
            <w:pPr>
              <w:spacing w:line="360" w:lineRule="auto"/>
              <w:jc w:val="center"/>
              <w:rPr>
                <w:rFonts w:ascii="宋体" w:hAnsi="宋体"/>
                <w:color w:val="auto"/>
                <w:sz w:val="21"/>
                <w:szCs w:val="21"/>
              </w:rPr>
            </w:pPr>
          </w:p>
        </w:tc>
        <w:tc>
          <w:tcPr>
            <w:tcW w:w="721" w:type="dxa"/>
            <w:noWrap w:val="0"/>
            <w:vAlign w:val="center"/>
          </w:tcPr>
          <w:p w14:paraId="1C99485C">
            <w:pPr>
              <w:spacing w:line="360" w:lineRule="auto"/>
              <w:jc w:val="center"/>
              <w:rPr>
                <w:rFonts w:ascii="宋体" w:hAnsi="宋体"/>
                <w:color w:val="auto"/>
                <w:sz w:val="21"/>
                <w:szCs w:val="21"/>
              </w:rPr>
            </w:pPr>
          </w:p>
        </w:tc>
      </w:tr>
      <w:tr w14:paraId="7268D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trPr>
        <w:tc>
          <w:tcPr>
            <w:tcW w:w="866" w:type="dxa"/>
            <w:noWrap w:val="0"/>
            <w:vAlign w:val="center"/>
          </w:tcPr>
          <w:p w14:paraId="4BBB8D7D">
            <w:pPr>
              <w:spacing w:line="360" w:lineRule="auto"/>
              <w:jc w:val="center"/>
              <w:rPr>
                <w:rFonts w:hint="default" w:ascii="宋体" w:hAnsi="宋体"/>
                <w:color w:val="auto"/>
                <w:sz w:val="21"/>
                <w:szCs w:val="21"/>
                <w:lang w:val="en-US" w:eastAsia="zh-CN"/>
              </w:rPr>
            </w:pPr>
            <w:r>
              <w:rPr>
                <w:rFonts w:hint="eastAsia" w:ascii="宋体" w:hAnsi="宋体"/>
                <w:color w:val="auto"/>
                <w:sz w:val="21"/>
                <w:szCs w:val="21"/>
                <w:lang w:val="en-US" w:eastAsia="zh-CN"/>
              </w:rPr>
              <w:t>5</w:t>
            </w:r>
          </w:p>
        </w:tc>
        <w:tc>
          <w:tcPr>
            <w:tcW w:w="6143" w:type="dxa"/>
            <w:noWrap w:val="0"/>
            <w:vAlign w:val="center"/>
          </w:tcPr>
          <w:p w14:paraId="19EED60A">
            <w:pPr>
              <w:keepNext w:val="0"/>
              <w:keepLines w:val="0"/>
              <w:pageBreakBefore w:val="0"/>
              <w:widowControl w:val="0"/>
              <w:tabs>
                <w:tab w:val="left" w:pos="612"/>
              </w:tabs>
              <w:kinsoku/>
              <w:wordWrap/>
              <w:overflowPunct/>
              <w:topLinePunct w:val="0"/>
              <w:autoSpaceDE/>
              <w:autoSpaceDN/>
              <w:bidi w:val="0"/>
              <w:snapToGrid/>
              <w:spacing w:line="240" w:lineRule="auto"/>
              <w:ind w:firstLine="420" w:firstLineChars="200"/>
              <w:textAlignment w:val="auto"/>
              <w:rPr>
                <w:rFonts w:hint="eastAsia" w:ascii="宋体" w:hAnsi="宋体" w:eastAsia="宋体" w:cs="宋体"/>
                <w:kern w:val="0"/>
                <w:sz w:val="21"/>
                <w:szCs w:val="21"/>
              </w:rPr>
            </w:pPr>
            <w:r>
              <w:rPr>
                <w:rFonts w:hint="eastAsia" w:ascii="宋体" w:hAnsi="宋体" w:eastAsia="宋体" w:cs="宋体"/>
                <w:color w:val="auto"/>
                <w:kern w:val="0"/>
                <w:sz w:val="21"/>
                <w:szCs w:val="21"/>
                <w:lang w:val="en-US" w:eastAsia="zh-CN"/>
              </w:rPr>
              <w:t>供应商或其实验室</w:t>
            </w:r>
            <w:r>
              <w:rPr>
                <w:rFonts w:hint="eastAsia" w:ascii="宋体" w:hAnsi="宋体" w:eastAsia="宋体" w:cs="宋体"/>
                <w:color w:val="auto"/>
                <w:kern w:val="0"/>
                <w:sz w:val="21"/>
                <w:szCs w:val="21"/>
              </w:rPr>
              <w:t>须具有</w:t>
            </w:r>
            <w:r>
              <w:rPr>
                <w:rFonts w:hint="eastAsia" w:ascii="宋体" w:hAnsi="宋体" w:eastAsia="宋体" w:cs="宋体"/>
                <w:color w:val="auto"/>
                <w:kern w:val="0"/>
                <w:sz w:val="21"/>
                <w:szCs w:val="21"/>
                <w:lang w:val="en-US" w:eastAsia="zh-CN"/>
              </w:rPr>
              <w:t>主管部门</w:t>
            </w:r>
            <w:r>
              <w:rPr>
                <w:rFonts w:hint="eastAsia" w:ascii="宋体" w:hAnsi="宋体" w:eastAsia="宋体" w:cs="宋体"/>
                <w:color w:val="auto"/>
                <w:kern w:val="0"/>
                <w:sz w:val="21"/>
                <w:szCs w:val="21"/>
              </w:rPr>
              <w:t>颁发</w:t>
            </w:r>
            <w:r>
              <w:rPr>
                <w:rFonts w:hint="eastAsia" w:ascii="宋体" w:hAnsi="宋体" w:eastAsia="宋体" w:cs="宋体"/>
                <w:color w:val="auto"/>
                <w:kern w:val="0"/>
                <w:sz w:val="21"/>
                <w:szCs w:val="21"/>
                <w:lang w:eastAsia="zh-CN"/>
              </w:rPr>
              <w:t>的</w:t>
            </w:r>
            <w:r>
              <w:rPr>
                <w:rFonts w:hint="eastAsia" w:ascii="宋体" w:hAnsi="宋体" w:eastAsia="宋体" w:cs="宋体"/>
                <w:color w:val="auto"/>
                <w:kern w:val="0"/>
                <w:sz w:val="21"/>
                <w:szCs w:val="21"/>
              </w:rPr>
              <w:t>有效期内的检验检测机构资质认定证书（CMA证书）</w:t>
            </w:r>
            <w:r>
              <w:rPr>
                <w:rFonts w:hint="eastAsia" w:ascii="宋体" w:hAnsi="宋体" w:eastAsia="宋体" w:cs="宋体"/>
                <w:color w:val="auto"/>
                <w:kern w:val="0"/>
                <w:sz w:val="21"/>
                <w:szCs w:val="21"/>
                <w:lang w:eastAsia="zh-CN"/>
              </w:rPr>
              <w:t>。</w:t>
            </w:r>
            <w:r>
              <w:rPr>
                <w:rFonts w:hint="eastAsia"/>
                <w:color w:val="auto"/>
                <w:sz w:val="21"/>
                <w:szCs w:val="21"/>
                <w:lang w:val="en-US" w:eastAsia="zh-CN"/>
              </w:rPr>
              <w:t>（</w:t>
            </w:r>
            <w:r>
              <w:rPr>
                <w:rFonts w:hint="eastAsia"/>
                <w:b/>
                <w:bCs/>
                <w:color w:val="auto"/>
                <w:sz w:val="21"/>
                <w:szCs w:val="21"/>
                <w:lang w:val="en-US" w:eastAsia="zh-CN"/>
              </w:rPr>
              <w:t>提供有效期内证书的复印件，并承诺监测范围能涵盖表1的监测因子，承诺函格式自拟</w:t>
            </w:r>
            <w:r>
              <w:rPr>
                <w:rFonts w:hint="eastAsia"/>
                <w:color w:val="auto"/>
                <w:sz w:val="21"/>
                <w:szCs w:val="21"/>
                <w:lang w:val="en-US" w:eastAsia="zh-CN"/>
              </w:rPr>
              <w:t>）</w:t>
            </w:r>
          </w:p>
        </w:tc>
        <w:tc>
          <w:tcPr>
            <w:tcW w:w="677" w:type="dxa"/>
            <w:noWrap w:val="0"/>
            <w:vAlign w:val="center"/>
          </w:tcPr>
          <w:p w14:paraId="6CB61F1B">
            <w:pPr>
              <w:spacing w:line="360" w:lineRule="auto"/>
              <w:jc w:val="center"/>
              <w:rPr>
                <w:rFonts w:ascii="宋体" w:hAnsi="宋体"/>
                <w:color w:val="auto"/>
                <w:sz w:val="21"/>
                <w:szCs w:val="21"/>
              </w:rPr>
            </w:pPr>
          </w:p>
        </w:tc>
        <w:tc>
          <w:tcPr>
            <w:tcW w:w="671" w:type="dxa"/>
            <w:noWrap w:val="0"/>
            <w:vAlign w:val="center"/>
          </w:tcPr>
          <w:p w14:paraId="6697A71C">
            <w:pPr>
              <w:spacing w:line="360" w:lineRule="auto"/>
              <w:jc w:val="center"/>
              <w:rPr>
                <w:rFonts w:ascii="宋体" w:hAnsi="宋体"/>
                <w:color w:val="auto"/>
                <w:sz w:val="21"/>
                <w:szCs w:val="21"/>
              </w:rPr>
            </w:pPr>
          </w:p>
        </w:tc>
        <w:tc>
          <w:tcPr>
            <w:tcW w:w="721" w:type="dxa"/>
            <w:noWrap w:val="0"/>
            <w:vAlign w:val="center"/>
          </w:tcPr>
          <w:p w14:paraId="4AE56CBB">
            <w:pPr>
              <w:spacing w:line="360" w:lineRule="auto"/>
              <w:jc w:val="center"/>
              <w:rPr>
                <w:rFonts w:ascii="宋体" w:hAnsi="宋体"/>
                <w:color w:val="auto"/>
                <w:sz w:val="21"/>
                <w:szCs w:val="21"/>
              </w:rPr>
            </w:pPr>
          </w:p>
        </w:tc>
      </w:tr>
      <w:tr w14:paraId="475A6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trPr>
        <w:tc>
          <w:tcPr>
            <w:tcW w:w="7009" w:type="dxa"/>
            <w:gridSpan w:val="2"/>
            <w:noWrap w:val="0"/>
            <w:vAlign w:val="center"/>
          </w:tcPr>
          <w:p w14:paraId="68164443">
            <w:pPr>
              <w:spacing w:line="360" w:lineRule="auto"/>
              <w:jc w:val="center"/>
              <w:rPr>
                <w:rFonts w:hint="eastAsia" w:ascii="宋体" w:hAnsi="宋体"/>
                <w:color w:val="auto"/>
                <w:sz w:val="21"/>
                <w:szCs w:val="21"/>
              </w:rPr>
            </w:pPr>
            <w:r>
              <w:rPr>
                <w:rFonts w:hint="eastAsia" w:ascii="宋体" w:hAnsi="宋体"/>
                <w:color w:val="auto"/>
                <w:sz w:val="21"/>
                <w:szCs w:val="21"/>
              </w:rPr>
              <w:t>结论</w:t>
            </w:r>
          </w:p>
        </w:tc>
        <w:tc>
          <w:tcPr>
            <w:tcW w:w="677" w:type="dxa"/>
            <w:noWrap w:val="0"/>
            <w:vAlign w:val="center"/>
          </w:tcPr>
          <w:p w14:paraId="4ED55E5D">
            <w:pPr>
              <w:spacing w:line="360" w:lineRule="auto"/>
              <w:jc w:val="center"/>
              <w:rPr>
                <w:rFonts w:ascii="宋体" w:hAnsi="宋体"/>
                <w:color w:val="auto"/>
                <w:sz w:val="21"/>
                <w:szCs w:val="21"/>
              </w:rPr>
            </w:pPr>
          </w:p>
        </w:tc>
        <w:tc>
          <w:tcPr>
            <w:tcW w:w="671" w:type="dxa"/>
            <w:noWrap w:val="0"/>
            <w:vAlign w:val="center"/>
          </w:tcPr>
          <w:p w14:paraId="0C286B71">
            <w:pPr>
              <w:spacing w:line="360" w:lineRule="auto"/>
              <w:jc w:val="center"/>
              <w:rPr>
                <w:rFonts w:ascii="宋体" w:hAnsi="宋体"/>
                <w:color w:val="auto"/>
                <w:sz w:val="21"/>
                <w:szCs w:val="21"/>
              </w:rPr>
            </w:pPr>
          </w:p>
        </w:tc>
        <w:tc>
          <w:tcPr>
            <w:tcW w:w="721" w:type="dxa"/>
            <w:noWrap w:val="0"/>
            <w:vAlign w:val="center"/>
          </w:tcPr>
          <w:p w14:paraId="5AFF0F2F">
            <w:pPr>
              <w:spacing w:line="360" w:lineRule="auto"/>
              <w:jc w:val="center"/>
              <w:rPr>
                <w:rFonts w:ascii="宋体" w:hAnsi="宋体"/>
                <w:color w:val="auto"/>
                <w:sz w:val="21"/>
                <w:szCs w:val="21"/>
              </w:rPr>
            </w:pPr>
          </w:p>
        </w:tc>
      </w:tr>
    </w:tbl>
    <w:p w14:paraId="6AB91B6E">
      <w:pPr>
        <w:spacing w:line="300" w:lineRule="auto"/>
        <w:rPr>
          <w:rFonts w:hint="eastAsia" w:ascii="宋体" w:hAnsi="宋体"/>
          <w:b/>
          <w:color w:val="auto"/>
          <w:szCs w:val="21"/>
        </w:rPr>
      </w:pPr>
    </w:p>
    <w:p w14:paraId="76F8015C">
      <w:pPr>
        <w:spacing w:line="300" w:lineRule="auto"/>
        <w:rPr>
          <w:rFonts w:hint="eastAsia" w:ascii="宋体" w:hAnsi="宋体"/>
          <w:b/>
          <w:color w:val="auto"/>
          <w:szCs w:val="21"/>
        </w:rPr>
      </w:pPr>
      <w:r>
        <w:rPr>
          <w:rFonts w:hint="eastAsia" w:ascii="宋体" w:hAnsi="宋体"/>
          <w:b/>
          <w:color w:val="auto"/>
          <w:szCs w:val="21"/>
        </w:rPr>
        <w:t>备注：</w:t>
      </w:r>
    </w:p>
    <w:p w14:paraId="5403BCE8">
      <w:pPr>
        <w:spacing w:line="300" w:lineRule="auto"/>
        <w:rPr>
          <w:rFonts w:hint="eastAsia" w:ascii="宋体" w:hAnsi="宋体"/>
          <w:b/>
          <w:color w:val="auto"/>
          <w:szCs w:val="21"/>
        </w:rPr>
      </w:pPr>
      <w:r>
        <w:rPr>
          <w:rFonts w:hint="eastAsia" w:ascii="宋体" w:hAnsi="宋体"/>
          <w:b/>
          <w:color w:val="auto"/>
          <w:szCs w:val="21"/>
        </w:rPr>
        <w:t>1.</w:t>
      </w:r>
      <w:r>
        <w:rPr>
          <w:rFonts w:hint="eastAsia" w:ascii="宋体" w:hAnsi="宋体"/>
          <w:b/>
          <w:color w:val="auto"/>
          <w:szCs w:val="21"/>
          <w:lang w:eastAsia="zh-CN"/>
        </w:rPr>
        <w:t>响应人</w:t>
      </w:r>
      <w:r>
        <w:rPr>
          <w:rFonts w:hint="eastAsia" w:ascii="宋体" w:hAnsi="宋体"/>
          <w:b/>
          <w:color w:val="auto"/>
          <w:szCs w:val="21"/>
        </w:rPr>
        <w:t>分栏中填写“√”表示该项符合招标文件要求，“×”表示该项不符合招标文件要求；</w:t>
      </w:r>
      <w:r>
        <w:rPr>
          <w:rFonts w:hint="eastAsia" w:ascii="宋体" w:hAnsi="宋体" w:cs="宋体"/>
          <w:b/>
          <w:bCs/>
          <w:color w:val="auto"/>
          <w:szCs w:val="21"/>
        </w:rPr>
        <w:t>结论写“通过”或“不通过”。</w:t>
      </w:r>
    </w:p>
    <w:p w14:paraId="6C812FF2">
      <w:pPr>
        <w:spacing w:line="300" w:lineRule="auto"/>
        <w:ind w:left="310" w:hanging="310" w:hangingChars="147"/>
        <w:rPr>
          <w:rFonts w:hint="eastAsia" w:ascii="宋体" w:hAnsi="宋体"/>
          <w:b/>
          <w:color w:val="auto"/>
          <w:szCs w:val="21"/>
        </w:rPr>
      </w:pPr>
      <w:r>
        <w:rPr>
          <w:rFonts w:hint="eastAsia" w:ascii="宋体" w:hAnsi="宋体"/>
          <w:b/>
          <w:color w:val="auto"/>
          <w:szCs w:val="21"/>
        </w:rPr>
        <w:t>2.有一项不符合的</w:t>
      </w:r>
      <w:r>
        <w:rPr>
          <w:rFonts w:hint="eastAsia" w:ascii="宋体" w:hAnsi="宋体"/>
          <w:b/>
          <w:color w:val="auto"/>
          <w:szCs w:val="21"/>
          <w:lang w:eastAsia="zh-CN"/>
        </w:rPr>
        <w:t>响应人</w:t>
      </w:r>
      <w:r>
        <w:rPr>
          <w:rFonts w:hint="eastAsia" w:ascii="宋体" w:hAnsi="宋体"/>
          <w:b/>
          <w:color w:val="auto"/>
          <w:szCs w:val="21"/>
        </w:rPr>
        <w:t>即为不通过资格性审查，则该</w:t>
      </w:r>
      <w:r>
        <w:rPr>
          <w:rFonts w:hint="eastAsia" w:ascii="宋体" w:hAnsi="宋体"/>
          <w:b/>
          <w:color w:val="auto"/>
          <w:szCs w:val="21"/>
          <w:lang w:eastAsia="zh-CN"/>
        </w:rPr>
        <w:t>响应人</w:t>
      </w:r>
      <w:r>
        <w:rPr>
          <w:rFonts w:hint="eastAsia" w:ascii="宋体" w:hAnsi="宋体"/>
          <w:b/>
          <w:color w:val="auto"/>
          <w:szCs w:val="21"/>
        </w:rPr>
        <w:t>为不合格</w:t>
      </w:r>
      <w:r>
        <w:rPr>
          <w:rFonts w:hint="eastAsia" w:ascii="宋体" w:hAnsi="宋体"/>
          <w:b/>
          <w:color w:val="auto"/>
          <w:szCs w:val="21"/>
          <w:lang w:eastAsia="zh-CN"/>
        </w:rPr>
        <w:t>响应人</w:t>
      </w:r>
      <w:r>
        <w:rPr>
          <w:rFonts w:hint="eastAsia" w:ascii="宋体" w:hAnsi="宋体"/>
          <w:b/>
          <w:color w:val="auto"/>
          <w:szCs w:val="21"/>
        </w:rPr>
        <w:t>，</w:t>
      </w:r>
      <w:r>
        <w:rPr>
          <w:rFonts w:hint="eastAsia"/>
          <w:b/>
          <w:bCs/>
          <w:color w:val="auto"/>
          <w:spacing w:val="-1"/>
          <w:szCs w:val="21"/>
        </w:rPr>
        <w:t>不</w:t>
      </w:r>
      <w:r>
        <w:rPr>
          <w:rFonts w:hint="eastAsia"/>
          <w:b/>
          <w:bCs/>
          <w:color w:val="auto"/>
          <w:spacing w:val="-1"/>
          <w:szCs w:val="21"/>
          <w:lang w:eastAsia="zh-CN"/>
        </w:rPr>
        <w:t>参与</w:t>
      </w:r>
      <w:r>
        <w:rPr>
          <w:rFonts w:hint="eastAsia"/>
          <w:b/>
          <w:bCs/>
          <w:color w:val="auto"/>
          <w:spacing w:val="-1"/>
          <w:szCs w:val="21"/>
        </w:rPr>
        <w:t>后续评审。</w:t>
      </w:r>
    </w:p>
    <w:p w14:paraId="67DE18D6">
      <w:pPr>
        <w:spacing w:line="300" w:lineRule="auto"/>
        <w:ind w:left="310" w:hanging="310" w:hangingChars="147"/>
        <w:rPr>
          <w:rFonts w:hint="eastAsia" w:ascii="宋体" w:hAnsi="宋体"/>
          <w:b/>
          <w:color w:val="auto"/>
          <w:szCs w:val="21"/>
        </w:rPr>
      </w:pPr>
      <w:r>
        <w:rPr>
          <w:rFonts w:hint="eastAsia" w:ascii="宋体" w:hAnsi="宋体"/>
          <w:b/>
          <w:color w:val="auto"/>
          <w:szCs w:val="21"/>
        </w:rPr>
        <w:br w:type="page"/>
      </w:r>
    </w:p>
    <w:p w14:paraId="40A9DE43">
      <w:pPr>
        <w:tabs>
          <w:tab w:val="left" w:pos="720"/>
        </w:tabs>
        <w:spacing w:line="300" w:lineRule="auto"/>
        <w:jc w:val="center"/>
        <w:rPr>
          <w:rFonts w:hint="eastAsia" w:ascii="黑体" w:hAnsi="宋体" w:eastAsia="黑体"/>
          <w:b/>
          <w:color w:val="auto"/>
          <w:kern w:val="0"/>
          <w:szCs w:val="21"/>
        </w:rPr>
      </w:pPr>
      <w:r>
        <w:rPr>
          <w:rFonts w:hint="eastAsia" w:ascii="黑体" w:hAnsi="宋体" w:eastAsia="黑体"/>
          <w:b/>
          <w:color w:val="auto"/>
          <w:kern w:val="0"/>
          <w:szCs w:val="21"/>
          <w:lang w:val="en-US" w:eastAsia="zh-CN"/>
        </w:rPr>
        <w:t>技术</w:t>
      </w:r>
      <w:r>
        <w:rPr>
          <w:rFonts w:hint="eastAsia" w:ascii="黑体" w:hAnsi="宋体" w:eastAsia="黑体"/>
          <w:b/>
          <w:color w:val="auto"/>
          <w:kern w:val="0"/>
          <w:szCs w:val="21"/>
        </w:rPr>
        <w:t>评分表</w:t>
      </w:r>
      <w:r>
        <w:rPr>
          <w:rFonts w:hint="eastAsia" w:ascii="黑体" w:hAnsi="宋体" w:eastAsia="黑体" w:cs="Times New Roman"/>
          <w:b/>
          <w:color w:val="auto"/>
          <w:u w:val="single"/>
          <w:lang w:eastAsia="zh-CN"/>
        </w:rPr>
        <w:t>（</w:t>
      </w:r>
      <w:r>
        <w:rPr>
          <w:rFonts w:hint="eastAsia" w:ascii="黑体" w:hAnsi="宋体" w:eastAsia="黑体" w:cs="Times New Roman"/>
          <w:b/>
          <w:color w:val="auto"/>
          <w:u w:val="single"/>
          <w:lang w:val="en-US" w:eastAsia="zh-CN"/>
        </w:rPr>
        <w:t>技术分值：50分</w:t>
      </w:r>
      <w:r>
        <w:rPr>
          <w:rFonts w:hint="eastAsia" w:ascii="黑体" w:hAnsi="宋体" w:eastAsia="黑体" w:cs="Times New Roman"/>
          <w:b/>
          <w:color w:val="auto"/>
          <w:u w:val="single"/>
          <w:lang w:eastAsia="zh-CN"/>
        </w:rPr>
        <w:t>）</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
        <w:gridCol w:w="1899"/>
        <w:gridCol w:w="4652"/>
        <w:gridCol w:w="1173"/>
        <w:tblGridChange w:id="0">
          <w:tblGrid>
            <w:gridCol w:w="798"/>
            <w:gridCol w:w="1899"/>
            <w:gridCol w:w="4652"/>
            <w:gridCol w:w="1173"/>
          </w:tblGrid>
        </w:tblGridChange>
      </w:tblGrid>
      <w:tr w14:paraId="22399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827" w:type="dxa"/>
            <w:noWrap w:val="0"/>
            <w:vAlign w:val="center"/>
          </w:tcPr>
          <w:p w14:paraId="283CA95D">
            <w:pPr>
              <w:adjustRightInd w:val="0"/>
              <w:snapToGrid w:val="0"/>
              <w:jc w:val="center"/>
              <w:rPr>
                <w:rFonts w:hint="eastAsia" w:ascii="宋体" w:hAnsi="宋体"/>
                <w:b/>
                <w:color w:val="auto"/>
                <w:szCs w:val="21"/>
              </w:rPr>
            </w:pPr>
            <w:r>
              <w:rPr>
                <w:rFonts w:hint="eastAsia" w:ascii="宋体" w:hAnsi="宋体"/>
                <w:b/>
                <w:color w:val="auto"/>
                <w:szCs w:val="21"/>
              </w:rPr>
              <w:t>序号</w:t>
            </w:r>
          </w:p>
        </w:tc>
        <w:tc>
          <w:tcPr>
            <w:tcW w:w="1968" w:type="dxa"/>
            <w:noWrap w:val="0"/>
            <w:vAlign w:val="center"/>
          </w:tcPr>
          <w:p w14:paraId="0666126A">
            <w:pPr>
              <w:adjustRightInd w:val="0"/>
              <w:snapToGrid w:val="0"/>
              <w:jc w:val="center"/>
              <w:rPr>
                <w:rFonts w:hint="eastAsia" w:ascii="宋体" w:hAnsi="宋体"/>
                <w:b/>
                <w:color w:val="auto"/>
                <w:szCs w:val="21"/>
              </w:rPr>
            </w:pPr>
            <w:r>
              <w:rPr>
                <w:rFonts w:hint="eastAsia" w:ascii="宋体" w:hAnsi="宋体"/>
                <w:b/>
                <w:color w:val="auto"/>
                <w:szCs w:val="21"/>
              </w:rPr>
              <w:t>评审项目</w:t>
            </w:r>
          </w:p>
        </w:tc>
        <w:tc>
          <w:tcPr>
            <w:tcW w:w="4932" w:type="dxa"/>
            <w:noWrap w:val="0"/>
            <w:vAlign w:val="center"/>
          </w:tcPr>
          <w:p w14:paraId="729F0DBF">
            <w:pPr>
              <w:adjustRightInd w:val="0"/>
              <w:snapToGrid w:val="0"/>
              <w:jc w:val="center"/>
              <w:rPr>
                <w:rFonts w:ascii="宋体" w:hAnsi="宋体"/>
                <w:b/>
                <w:color w:val="auto"/>
                <w:szCs w:val="21"/>
              </w:rPr>
            </w:pPr>
            <w:r>
              <w:rPr>
                <w:rFonts w:hint="eastAsia" w:ascii="宋体" w:hAnsi="宋体"/>
                <w:b/>
                <w:color w:val="auto"/>
                <w:szCs w:val="21"/>
              </w:rPr>
              <w:t>评审细则</w:t>
            </w:r>
          </w:p>
        </w:tc>
        <w:tc>
          <w:tcPr>
            <w:tcW w:w="1231" w:type="dxa"/>
            <w:noWrap w:val="0"/>
            <w:vAlign w:val="center"/>
          </w:tcPr>
          <w:p w14:paraId="3DE6D4C1">
            <w:pPr>
              <w:adjustRightInd w:val="0"/>
              <w:snapToGrid w:val="0"/>
              <w:jc w:val="center"/>
              <w:rPr>
                <w:rFonts w:hint="eastAsia" w:ascii="宋体" w:hAnsi="宋体"/>
                <w:b/>
                <w:color w:val="auto"/>
                <w:szCs w:val="21"/>
              </w:rPr>
            </w:pPr>
            <w:r>
              <w:rPr>
                <w:rFonts w:hint="eastAsia" w:ascii="宋体" w:hAnsi="宋体"/>
                <w:b/>
                <w:color w:val="auto"/>
                <w:szCs w:val="21"/>
              </w:rPr>
              <w:t>分值</w:t>
            </w:r>
          </w:p>
        </w:tc>
      </w:tr>
      <w:tr w14:paraId="2B824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8" w:hRule="atLeast"/>
          <w:jc w:val="center"/>
        </w:trPr>
        <w:tc>
          <w:tcPr>
            <w:tcW w:w="827" w:type="dxa"/>
            <w:noWrap w:val="0"/>
            <w:vAlign w:val="center"/>
          </w:tcPr>
          <w:p w14:paraId="7C67AFF1">
            <w:pPr>
              <w:adjustRightInd w:val="0"/>
              <w:snapToGrid w:val="0"/>
              <w:spacing w:line="360" w:lineRule="auto"/>
              <w:jc w:val="center"/>
              <w:rPr>
                <w:rFonts w:hint="eastAsia" w:ascii="宋体" w:hAnsi="宋体" w:cs="宋体"/>
                <w:color w:val="auto"/>
                <w:szCs w:val="21"/>
              </w:rPr>
            </w:pPr>
            <w:r>
              <w:rPr>
                <w:rFonts w:hint="eastAsia" w:ascii="宋体" w:hAnsi="宋体" w:cs="宋体"/>
                <w:color w:val="auto"/>
                <w:szCs w:val="21"/>
              </w:rPr>
              <w:t>1</w:t>
            </w:r>
          </w:p>
        </w:tc>
        <w:tc>
          <w:tcPr>
            <w:tcW w:w="1968" w:type="dxa"/>
            <w:noWrap w:val="0"/>
            <w:vAlign w:val="center"/>
          </w:tcPr>
          <w:p w14:paraId="4C57EB7F">
            <w:pPr>
              <w:adjustRightInd w:val="0"/>
              <w:snapToGrid w:val="0"/>
              <w:spacing w:line="360" w:lineRule="auto"/>
              <w:jc w:val="center"/>
              <w:outlineLvl w:val="1"/>
              <w:rPr>
                <w:rFonts w:hint="default" w:ascii="宋体" w:hAnsi="宋体" w:eastAsia="宋体" w:cs="宋体"/>
                <w:color w:val="auto"/>
                <w:szCs w:val="21"/>
                <w:highlight w:val="yellow"/>
                <w:lang w:val="en-US" w:eastAsia="zh-CN"/>
              </w:rPr>
            </w:pPr>
            <w:r>
              <w:rPr>
                <w:rFonts w:hint="eastAsia" w:ascii="宋体" w:hAnsi="宋体" w:eastAsia="宋体" w:cs="宋体"/>
                <w:color w:val="auto"/>
                <w:szCs w:val="21"/>
                <w:lang w:val="en-US" w:eastAsia="zh-CN"/>
              </w:rPr>
              <w:t>仪器配置（10.0）</w:t>
            </w:r>
          </w:p>
        </w:tc>
        <w:tc>
          <w:tcPr>
            <w:tcW w:w="4932" w:type="dxa"/>
            <w:shd w:val="clear" w:color="auto" w:fill="auto"/>
            <w:noWrap w:val="0"/>
            <w:vAlign w:val="top"/>
          </w:tcPr>
          <w:p w14:paraId="7F44397A">
            <w:pPr>
              <w:pStyle w:val="15"/>
              <w:jc w:val="left"/>
              <w:rPr>
                <w:rFonts w:hint="default" w:ascii="Calibri" w:hAnsi="Calibri" w:eastAsia="宋体" w:cs="Times New Roman"/>
                <w:lang w:val="en-US" w:eastAsia="zh-CN" w:bidi="ar-SA"/>
              </w:rPr>
            </w:pPr>
            <w:r>
              <w:rPr>
                <w:rFonts w:hint="default" w:ascii="Calibri" w:hAnsi="Calibri" w:eastAsia="宋体" w:cs="Times New Roman"/>
                <w:lang w:val="en-US" w:eastAsia="zh-CN" w:bidi="ar-SA"/>
              </w:rPr>
              <w:t>供应商实验室仪器设备：</w:t>
            </w:r>
          </w:p>
          <w:p w14:paraId="571B8F4A">
            <w:pPr>
              <w:pStyle w:val="15"/>
              <w:jc w:val="left"/>
              <w:rPr>
                <w:rFonts w:hint="default" w:ascii="Calibri" w:hAnsi="Calibri" w:eastAsia="宋体" w:cs="Times New Roman"/>
                <w:lang w:val="en-US" w:eastAsia="zh-CN" w:bidi="ar-SA"/>
              </w:rPr>
            </w:pPr>
            <w:r>
              <w:rPr>
                <w:rFonts w:hint="default" w:ascii="Calibri" w:hAnsi="Calibri" w:eastAsia="宋体" w:cs="Times New Roman"/>
                <w:lang w:val="en-US" w:eastAsia="zh-CN" w:bidi="ar-SA"/>
              </w:rPr>
              <w:t>1）气相色谱质谱联用仪；2）电感耦合等离子发射光谱仪；3）电感耦合等离子体质谱仪；4）石墨炉原子吸收光谱仪；5）火焰原子吸收光谱仪；6）气相色谱仪</w:t>
            </w:r>
            <w:r>
              <w:rPr>
                <w:rFonts w:hint="eastAsia" w:cs="Times New Roman"/>
                <w:lang w:val="en-US" w:eastAsia="zh-CN" w:bidi="ar-SA"/>
              </w:rPr>
              <w:t>；</w:t>
            </w:r>
            <w:r>
              <w:rPr>
                <w:rFonts w:hint="default" w:ascii="Calibri" w:hAnsi="Calibri" w:eastAsia="宋体" w:cs="Times New Roman"/>
                <w:lang w:val="en-US" w:eastAsia="zh-CN" w:bidi="ar-SA"/>
              </w:rPr>
              <w:t>7）离子色谱仪；8）高效液相色谱仪。</w:t>
            </w:r>
          </w:p>
          <w:p w14:paraId="1A3F9A27">
            <w:pPr>
              <w:pStyle w:val="15"/>
              <w:jc w:val="left"/>
              <w:rPr>
                <w:rFonts w:hint="default" w:ascii="Calibri" w:hAnsi="Calibri" w:eastAsia="宋体" w:cs="Times New Roman"/>
                <w:lang w:val="en-US" w:eastAsia="zh-CN" w:bidi="ar-SA"/>
              </w:rPr>
            </w:pPr>
            <w:r>
              <w:rPr>
                <w:rFonts w:hint="default" w:ascii="Calibri" w:hAnsi="Calibri" w:eastAsia="宋体" w:cs="Times New Roman"/>
                <w:lang w:val="en-US" w:eastAsia="zh-CN" w:bidi="ar-SA"/>
              </w:rPr>
              <w:t>以上仪器每提供一类得</w:t>
            </w:r>
            <w:r>
              <w:rPr>
                <w:rFonts w:hint="eastAsia" w:cs="Times New Roman"/>
                <w:lang w:val="en-US" w:eastAsia="zh-CN" w:bidi="ar-SA"/>
              </w:rPr>
              <w:t>2</w:t>
            </w:r>
            <w:r>
              <w:rPr>
                <w:rFonts w:hint="default" w:ascii="Calibri" w:hAnsi="Calibri" w:eastAsia="宋体" w:cs="Times New Roman"/>
                <w:lang w:val="en-US" w:eastAsia="zh-CN" w:bidi="ar-SA"/>
              </w:rPr>
              <w:t>分，最高</w:t>
            </w:r>
            <w:r>
              <w:rPr>
                <w:rFonts w:hint="eastAsia" w:cs="Times New Roman"/>
                <w:lang w:val="en-US" w:eastAsia="zh-CN" w:bidi="ar-SA"/>
              </w:rPr>
              <w:t>10</w:t>
            </w:r>
            <w:r>
              <w:rPr>
                <w:rFonts w:hint="default" w:ascii="Calibri" w:hAnsi="Calibri" w:eastAsia="宋体" w:cs="Times New Roman"/>
                <w:lang w:val="en-US" w:eastAsia="zh-CN" w:bidi="ar-SA"/>
              </w:rPr>
              <w:t>分。</w:t>
            </w:r>
          </w:p>
          <w:p w14:paraId="4C72BAF6">
            <w:pPr>
              <w:pStyle w:val="15"/>
              <w:jc w:val="left"/>
              <w:rPr>
                <w:rFonts w:hint="default" w:ascii="Calibri" w:hAnsi="Calibri" w:eastAsia="宋体" w:cs="Times New Roman"/>
                <w:lang w:val="en-US" w:eastAsia="zh-CN" w:bidi="ar-SA"/>
              </w:rPr>
            </w:pPr>
            <w:r>
              <w:rPr>
                <w:rFonts w:hint="default" w:ascii="Calibri" w:hAnsi="Calibri" w:eastAsia="宋体" w:cs="Times New Roman"/>
                <w:lang w:val="en-US" w:eastAsia="zh-CN" w:bidi="ar-SA"/>
              </w:rPr>
              <w:t>注：须提供设备购买发票或有效租赁合同或设备使用权证明文件复印件，并提供有效期内的检定/校准证书复印件，未提供完整相应资料的仪器设备不得分。</w:t>
            </w:r>
          </w:p>
        </w:tc>
        <w:tc>
          <w:tcPr>
            <w:tcW w:w="1231" w:type="dxa"/>
            <w:noWrap w:val="0"/>
            <w:vAlign w:val="center"/>
          </w:tcPr>
          <w:p w14:paraId="587DB0F2">
            <w:pPr>
              <w:jc w:val="center"/>
              <w:rPr>
                <w:rFonts w:hint="default" w:ascii="宋体" w:hAnsi="宋体" w:eastAsia="宋体"/>
                <w:color w:val="auto"/>
                <w:szCs w:val="21"/>
                <w:highlight w:val="yellow"/>
                <w:lang w:val="en-US" w:eastAsia="zh-CN"/>
              </w:rPr>
            </w:pPr>
            <w:r>
              <w:rPr>
                <w:rFonts w:hint="eastAsia" w:ascii="宋体" w:hAnsi="宋体" w:eastAsia="宋体"/>
                <w:color w:val="auto"/>
                <w:szCs w:val="21"/>
                <w:lang w:val="en-US" w:eastAsia="zh-CN"/>
              </w:rPr>
              <w:t>10</w:t>
            </w:r>
          </w:p>
        </w:tc>
      </w:tr>
      <w:tr w14:paraId="1958A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5" w:hRule="atLeast"/>
          <w:jc w:val="center"/>
        </w:trPr>
        <w:tc>
          <w:tcPr>
            <w:tcW w:w="827" w:type="dxa"/>
            <w:noWrap w:val="0"/>
            <w:vAlign w:val="center"/>
          </w:tcPr>
          <w:p w14:paraId="22449711">
            <w:pPr>
              <w:adjustRightInd w:val="0"/>
              <w:snapToGrid w:val="0"/>
              <w:spacing w:line="360" w:lineRule="auto"/>
              <w:jc w:val="center"/>
              <w:rPr>
                <w:rFonts w:hint="eastAsia" w:ascii="宋体" w:hAnsi="宋体" w:cs="宋体" w:eastAsiaTheme="minorEastAsia"/>
                <w:color w:val="auto"/>
                <w:szCs w:val="21"/>
                <w:lang w:val="en-US" w:eastAsia="zh-CN"/>
              </w:rPr>
            </w:pPr>
            <w:r>
              <w:rPr>
                <w:rFonts w:hint="eastAsia" w:ascii="宋体" w:hAnsi="宋体" w:cs="宋体"/>
                <w:color w:val="auto"/>
                <w:szCs w:val="21"/>
                <w:lang w:val="en-US" w:eastAsia="zh-CN"/>
              </w:rPr>
              <w:t>2</w:t>
            </w:r>
          </w:p>
        </w:tc>
        <w:tc>
          <w:tcPr>
            <w:tcW w:w="1968" w:type="dxa"/>
            <w:noWrap w:val="0"/>
            <w:vAlign w:val="center"/>
          </w:tcPr>
          <w:p w14:paraId="01F7E1CF">
            <w:pPr>
              <w:adjustRightInd w:val="0"/>
              <w:snapToGrid w:val="0"/>
              <w:spacing w:line="360" w:lineRule="auto"/>
              <w:jc w:val="center"/>
              <w:outlineLvl w:val="1"/>
              <w:rPr>
                <w:rFonts w:hint="default" w:ascii="宋体" w:hAnsi="宋体" w:cs="宋体"/>
                <w:color w:val="auto"/>
                <w:szCs w:val="21"/>
                <w:lang w:val="en-US" w:eastAsia="zh-CN"/>
              </w:rPr>
            </w:pPr>
            <w:r>
              <w:rPr>
                <w:rFonts w:hint="eastAsia" w:ascii="宋体" w:hAnsi="宋体" w:cs="宋体"/>
                <w:color w:val="auto"/>
                <w:szCs w:val="21"/>
                <w:lang w:val="en-US" w:eastAsia="zh-CN"/>
              </w:rPr>
              <w:t>能力验证（10.0）</w:t>
            </w:r>
          </w:p>
        </w:tc>
        <w:tc>
          <w:tcPr>
            <w:tcW w:w="4932" w:type="dxa"/>
            <w:noWrap w:val="0"/>
            <w:vAlign w:val="center"/>
          </w:tcPr>
          <w:p w14:paraId="4E1D0568">
            <w:pPr>
              <w:pStyle w:val="15"/>
              <w:ind w:firstLine="400" w:firstLineChars="200"/>
              <w:jc w:val="left"/>
              <w:rPr>
                <w:rFonts w:hint="eastAsia" w:ascii="Calibri" w:hAnsi="Calibri" w:eastAsia="宋体" w:cs="Times New Roman"/>
                <w:lang w:val="en-US" w:eastAsia="zh-CN" w:bidi="ar-SA"/>
              </w:rPr>
            </w:pPr>
            <w:r>
              <w:rPr>
                <w:rFonts w:hint="eastAsia" w:ascii="Calibri" w:hAnsi="Calibri" w:eastAsia="宋体" w:cs="Times New Roman"/>
                <w:lang w:val="en-US" w:eastAsia="zh-CN" w:bidi="ar-SA"/>
              </w:rPr>
              <w:t>2024年1月1日以来供应商参加环境监测项目实验室能力验证且验证结果</w:t>
            </w:r>
            <w:bookmarkStart w:id="0" w:name="OLE_LINK3"/>
            <w:r>
              <w:rPr>
                <w:rFonts w:hint="eastAsia" w:ascii="Calibri" w:hAnsi="Calibri" w:eastAsia="宋体" w:cs="Times New Roman"/>
                <w:lang w:val="en-US" w:eastAsia="zh-CN" w:bidi="ar-SA"/>
              </w:rPr>
              <w:t>为“满意”</w:t>
            </w:r>
            <w:bookmarkEnd w:id="0"/>
            <w:r>
              <w:rPr>
                <w:rFonts w:hint="eastAsia" w:ascii="Calibri" w:hAnsi="Calibri" w:eastAsia="宋体" w:cs="Times New Roman"/>
                <w:lang w:val="en-US" w:eastAsia="zh-CN" w:bidi="ar-SA"/>
              </w:rPr>
              <w:t>，每提供一份得</w:t>
            </w:r>
            <w:r>
              <w:rPr>
                <w:rFonts w:hint="eastAsia" w:cs="Times New Roman"/>
                <w:lang w:val="en-US" w:eastAsia="zh-CN" w:bidi="ar-SA"/>
              </w:rPr>
              <w:t>1</w:t>
            </w:r>
            <w:r>
              <w:rPr>
                <w:rFonts w:hint="eastAsia" w:ascii="Calibri" w:hAnsi="Calibri" w:eastAsia="宋体" w:cs="Times New Roman"/>
                <w:lang w:val="en-US" w:eastAsia="zh-CN" w:bidi="ar-SA"/>
              </w:rPr>
              <w:t>分，无提供不得分，最高可得10分。</w:t>
            </w:r>
          </w:p>
          <w:p w14:paraId="4936AA42">
            <w:pPr>
              <w:pStyle w:val="15"/>
              <w:jc w:val="left"/>
              <w:rPr>
                <w:rFonts w:hint="eastAsia" w:ascii="宋体" w:hAnsi="宋体" w:cs="宋体"/>
                <w:color w:val="auto"/>
                <w:szCs w:val="21"/>
                <w:lang w:val="en-US" w:eastAsia="zh-CN"/>
              </w:rPr>
            </w:pPr>
            <w:r>
              <w:rPr>
                <w:rFonts w:hint="eastAsia" w:ascii="Calibri" w:hAnsi="Calibri" w:eastAsia="宋体" w:cs="Times New Roman"/>
                <w:lang w:val="en-US" w:eastAsia="zh-CN" w:bidi="ar-SA"/>
              </w:rPr>
              <w:t>注：须提供具备中国认可能力验证资质机构颁发的能力验证证书复印件，证书上必须有CNAS印章，否则无效。</w:t>
            </w:r>
          </w:p>
        </w:tc>
        <w:tc>
          <w:tcPr>
            <w:tcW w:w="1231" w:type="dxa"/>
            <w:noWrap w:val="0"/>
            <w:vAlign w:val="center"/>
          </w:tcPr>
          <w:p w14:paraId="79173023">
            <w:pPr>
              <w:jc w:val="center"/>
              <w:rPr>
                <w:rFonts w:hint="eastAsia" w:ascii="宋体" w:hAnsi="宋体"/>
                <w:color w:val="auto"/>
                <w:szCs w:val="21"/>
                <w:lang w:val="en-US" w:eastAsia="zh-CN"/>
              </w:rPr>
            </w:pPr>
            <w:r>
              <w:rPr>
                <w:rFonts w:hint="eastAsia" w:ascii="宋体" w:hAnsi="宋体" w:eastAsia="宋体"/>
                <w:color w:val="auto"/>
                <w:szCs w:val="21"/>
                <w:lang w:val="en-US" w:eastAsia="zh-CN"/>
              </w:rPr>
              <w:t>10</w:t>
            </w:r>
          </w:p>
        </w:tc>
      </w:tr>
      <w:tr w14:paraId="4D1D5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827" w:type="dxa"/>
            <w:noWrap w:val="0"/>
            <w:vAlign w:val="center"/>
          </w:tcPr>
          <w:p w14:paraId="67F520DC">
            <w:pPr>
              <w:adjustRightInd w:val="0"/>
              <w:snapToGrid w:val="0"/>
              <w:spacing w:line="360" w:lineRule="auto"/>
              <w:jc w:val="center"/>
              <w:rPr>
                <w:rFonts w:hint="default" w:ascii="宋体" w:hAnsi="宋体" w:cs="宋体"/>
                <w:color w:val="auto"/>
                <w:szCs w:val="21"/>
                <w:lang w:val="en-US" w:eastAsia="zh-CN"/>
              </w:rPr>
            </w:pPr>
            <w:r>
              <w:rPr>
                <w:rFonts w:hint="eastAsia" w:ascii="宋体" w:hAnsi="宋体" w:cs="宋体"/>
                <w:color w:val="auto"/>
                <w:szCs w:val="21"/>
                <w:lang w:val="en-US" w:eastAsia="zh-CN"/>
              </w:rPr>
              <w:t>3</w:t>
            </w:r>
          </w:p>
        </w:tc>
        <w:tc>
          <w:tcPr>
            <w:tcW w:w="1968" w:type="dxa"/>
            <w:noWrap w:val="0"/>
            <w:vAlign w:val="center"/>
          </w:tcPr>
          <w:p w14:paraId="42473827">
            <w:pPr>
              <w:keepNext w:val="0"/>
              <w:keepLines w:val="0"/>
              <w:pageBreakBefore w:val="0"/>
              <w:kinsoku/>
              <w:wordWrap/>
              <w:overflowPunct/>
              <w:topLinePunct w:val="0"/>
              <w:bidi w:val="0"/>
              <w:spacing w:line="360" w:lineRule="auto"/>
              <w:jc w:val="center"/>
              <w:textAlignment w:val="auto"/>
              <w:rPr>
                <w:rFonts w:hint="eastAsia" w:ascii="宋体" w:hAnsi="宋体" w:cs="宋体"/>
                <w:color w:val="auto"/>
                <w:szCs w:val="21"/>
                <w:lang w:val="en-US" w:eastAsia="zh-CN"/>
              </w:rPr>
            </w:pPr>
            <w:r>
              <w:rPr>
                <w:rFonts w:hint="eastAsia" w:ascii="宋体" w:hAnsi="宋体" w:eastAsia="宋体" w:cs="宋体"/>
                <w:color w:val="auto"/>
                <w:sz w:val="21"/>
                <w:szCs w:val="21"/>
                <w:highlight w:val="none"/>
              </w:rPr>
              <w:t>服务方案</w:t>
            </w:r>
            <w:r>
              <w:rPr>
                <w:rFonts w:hint="eastAsia" w:ascii="宋体" w:hAnsi="宋体" w:eastAsia="宋体" w:cs="宋体"/>
                <w:color w:val="auto"/>
                <w:sz w:val="21"/>
                <w:szCs w:val="21"/>
                <w:highlight w:val="none"/>
                <w:lang w:val="en-US" w:eastAsia="zh-CN"/>
              </w:rPr>
              <w:t>（15.0）</w:t>
            </w:r>
          </w:p>
        </w:tc>
        <w:tc>
          <w:tcPr>
            <w:tcW w:w="4932" w:type="dxa"/>
            <w:noWrap w:val="0"/>
            <w:vAlign w:val="center"/>
          </w:tcPr>
          <w:p w14:paraId="0875965F">
            <w:pPr>
              <w:keepNext w:val="0"/>
              <w:keepLines w:val="0"/>
              <w:pageBreakBefore w:val="0"/>
              <w:widowControl w:val="0"/>
              <w:kinsoku/>
              <w:wordWrap/>
              <w:overflowPunct/>
              <w:topLinePunct w:val="0"/>
              <w:autoSpaceDE/>
              <w:autoSpaceDN/>
              <w:bidi w:val="0"/>
              <w:adjustRightInd w:val="0"/>
              <w:snapToGrid w:val="0"/>
              <w:spacing w:line="2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供应商针对本项目提供整体服务方案（包括但不限于整体工作思路、检测方案等）：</w:t>
            </w:r>
          </w:p>
          <w:p w14:paraId="77695817">
            <w:pPr>
              <w:keepNext w:val="0"/>
              <w:keepLines w:val="0"/>
              <w:pageBreakBefore w:val="0"/>
              <w:widowControl w:val="0"/>
              <w:kinsoku/>
              <w:wordWrap/>
              <w:overflowPunct/>
              <w:topLinePunct w:val="0"/>
              <w:autoSpaceDE/>
              <w:autoSpaceDN/>
              <w:bidi w:val="0"/>
              <w:adjustRightInd w:val="0"/>
              <w:snapToGrid w:val="0"/>
              <w:spacing w:line="2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方案内容完善、科学合理、可操作性强，得</w:t>
            </w:r>
            <w:r>
              <w:rPr>
                <w:rFonts w:hint="eastAsia" w:ascii="宋体" w:hAnsi="宋体" w:eastAsia="宋体" w:cs="宋体"/>
                <w:color w:val="auto"/>
                <w:sz w:val="21"/>
                <w:szCs w:val="21"/>
                <w:highlight w:val="none"/>
                <w:lang w:val="en-US" w:eastAsia="zh-CN"/>
              </w:rPr>
              <w:t>15</w:t>
            </w:r>
            <w:r>
              <w:rPr>
                <w:rFonts w:hint="eastAsia" w:ascii="宋体" w:hAnsi="宋体" w:eastAsia="宋体" w:cs="宋体"/>
                <w:color w:val="auto"/>
                <w:sz w:val="21"/>
                <w:szCs w:val="21"/>
                <w:highlight w:val="none"/>
              </w:rPr>
              <w:t>分；</w:t>
            </w:r>
          </w:p>
          <w:p w14:paraId="4EA7430B">
            <w:pPr>
              <w:keepNext w:val="0"/>
              <w:keepLines w:val="0"/>
              <w:pageBreakBefore w:val="0"/>
              <w:widowControl w:val="0"/>
              <w:kinsoku/>
              <w:wordWrap/>
              <w:overflowPunct/>
              <w:topLinePunct w:val="0"/>
              <w:autoSpaceDE/>
              <w:autoSpaceDN/>
              <w:bidi w:val="0"/>
              <w:adjustRightInd w:val="0"/>
              <w:snapToGrid w:val="0"/>
              <w:spacing w:line="2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方案内容较完善、较科学合理、可操作性较强，得</w:t>
            </w:r>
            <w:r>
              <w:rPr>
                <w:rFonts w:hint="eastAsia" w:ascii="宋体" w:hAnsi="宋体" w:eastAsia="宋体" w:cs="宋体"/>
                <w:color w:val="auto"/>
                <w:sz w:val="21"/>
                <w:szCs w:val="21"/>
                <w:highlight w:val="none"/>
                <w:lang w:val="en-US" w:eastAsia="zh-CN"/>
              </w:rPr>
              <w:t>11</w:t>
            </w:r>
            <w:r>
              <w:rPr>
                <w:rFonts w:hint="eastAsia" w:ascii="宋体" w:hAnsi="宋体" w:eastAsia="宋体" w:cs="宋体"/>
                <w:color w:val="auto"/>
                <w:sz w:val="21"/>
                <w:szCs w:val="21"/>
                <w:highlight w:val="none"/>
              </w:rPr>
              <w:t>分；</w:t>
            </w:r>
          </w:p>
          <w:p w14:paraId="09A99FA0">
            <w:pPr>
              <w:keepNext w:val="0"/>
              <w:keepLines w:val="0"/>
              <w:pageBreakBefore w:val="0"/>
              <w:widowControl w:val="0"/>
              <w:kinsoku/>
              <w:wordWrap/>
              <w:overflowPunct/>
              <w:topLinePunct w:val="0"/>
              <w:autoSpaceDE/>
              <w:autoSpaceDN/>
              <w:bidi w:val="0"/>
              <w:adjustRightInd w:val="0"/>
              <w:snapToGrid w:val="0"/>
              <w:spacing w:line="2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方案内容基本完善、基本科学合理、可操作性欠缺，得</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分；</w:t>
            </w:r>
          </w:p>
          <w:p w14:paraId="3E4D9BDE">
            <w:pPr>
              <w:keepNext w:val="0"/>
              <w:keepLines w:val="0"/>
              <w:pageBreakBefore w:val="0"/>
              <w:widowControl w:val="0"/>
              <w:kinsoku/>
              <w:wordWrap/>
              <w:overflowPunct/>
              <w:topLinePunct w:val="0"/>
              <w:autoSpaceDE/>
              <w:autoSpaceDN/>
              <w:bidi w:val="0"/>
              <w:adjustRightInd w:val="0"/>
              <w:snapToGrid w:val="0"/>
              <w:spacing w:line="2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方案内容不完善、不科学合理、可操作性差，得</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w:t>
            </w:r>
          </w:p>
          <w:p w14:paraId="1D8227A2">
            <w:pPr>
              <w:keepNext w:val="0"/>
              <w:keepLines w:val="0"/>
              <w:pageBreakBefore w:val="0"/>
              <w:widowControl w:val="0"/>
              <w:kinsoku/>
              <w:wordWrap/>
              <w:overflowPunct/>
              <w:topLinePunct w:val="0"/>
              <w:autoSpaceDE/>
              <w:autoSpaceDN/>
              <w:bidi w:val="0"/>
              <w:adjustRightInd w:val="0"/>
              <w:snapToGrid w:val="0"/>
              <w:spacing w:line="240" w:lineRule="exact"/>
              <w:ind w:firstLine="420" w:firstLineChars="200"/>
              <w:textAlignment w:val="auto"/>
              <w:rPr>
                <w:rFonts w:hint="eastAsia" w:ascii="Calibri" w:hAnsi="Calibri" w:eastAsia="宋体" w:cs="Times New Roman"/>
                <w:lang w:val="en-US" w:eastAsia="zh-CN" w:bidi="ar-SA"/>
              </w:rPr>
            </w:pPr>
            <w:r>
              <w:rPr>
                <w:rFonts w:hint="eastAsia" w:ascii="宋体" w:hAnsi="宋体" w:eastAsia="宋体" w:cs="宋体"/>
                <w:color w:val="auto"/>
                <w:sz w:val="21"/>
                <w:szCs w:val="21"/>
                <w:highlight w:val="none"/>
              </w:rPr>
              <w:t>无或不提供不得分。</w:t>
            </w:r>
          </w:p>
        </w:tc>
        <w:tc>
          <w:tcPr>
            <w:tcW w:w="1231" w:type="dxa"/>
            <w:noWrap w:val="0"/>
            <w:vAlign w:val="center"/>
          </w:tcPr>
          <w:p w14:paraId="49A6FAB9">
            <w:pPr>
              <w:jc w:val="center"/>
              <w:rPr>
                <w:rFonts w:hint="default" w:ascii="宋体" w:hAnsi="宋体" w:eastAsia="宋体"/>
                <w:color w:val="auto"/>
                <w:szCs w:val="21"/>
                <w:lang w:val="en-US" w:eastAsia="zh-CN"/>
              </w:rPr>
            </w:pPr>
            <w:r>
              <w:rPr>
                <w:rFonts w:hint="eastAsia" w:ascii="宋体" w:hAnsi="宋体" w:eastAsia="宋体"/>
                <w:color w:val="auto"/>
                <w:szCs w:val="21"/>
                <w:lang w:val="en-US" w:eastAsia="zh-CN"/>
              </w:rPr>
              <w:t>15</w:t>
            </w:r>
          </w:p>
        </w:tc>
      </w:tr>
      <w:tr w14:paraId="47FEC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827" w:type="dxa"/>
            <w:noWrap w:val="0"/>
            <w:vAlign w:val="center"/>
          </w:tcPr>
          <w:p w14:paraId="1DD4803A">
            <w:pPr>
              <w:adjustRightInd w:val="0"/>
              <w:snapToGrid w:val="0"/>
              <w:spacing w:line="360" w:lineRule="auto"/>
              <w:jc w:val="center"/>
              <w:rPr>
                <w:rFonts w:hint="default" w:ascii="宋体" w:hAnsi="宋体" w:cs="宋体"/>
                <w:color w:val="auto"/>
                <w:szCs w:val="21"/>
                <w:lang w:val="en-US" w:eastAsia="zh-CN"/>
              </w:rPr>
            </w:pPr>
            <w:r>
              <w:rPr>
                <w:rFonts w:hint="eastAsia" w:ascii="宋体" w:hAnsi="宋体" w:cs="宋体"/>
                <w:color w:val="auto"/>
                <w:szCs w:val="21"/>
                <w:lang w:val="en-US" w:eastAsia="zh-CN"/>
              </w:rPr>
              <w:t>4</w:t>
            </w:r>
          </w:p>
        </w:tc>
        <w:tc>
          <w:tcPr>
            <w:tcW w:w="1968" w:type="dxa"/>
            <w:noWrap w:val="0"/>
            <w:vAlign w:val="center"/>
          </w:tcPr>
          <w:p w14:paraId="4E77D2DA">
            <w:pPr>
              <w:keepNext w:val="0"/>
              <w:keepLines w:val="0"/>
              <w:pageBreakBefore w:val="0"/>
              <w:kinsoku/>
              <w:wordWrap/>
              <w:overflowPunct/>
              <w:topLinePunct w:val="0"/>
              <w:bidi w:val="0"/>
              <w:spacing w:line="360" w:lineRule="auto"/>
              <w:jc w:val="center"/>
              <w:textAlignment w:val="auto"/>
              <w:rPr>
                <w:rFonts w:hint="eastAsia" w:ascii="宋体" w:hAnsi="宋体" w:cs="宋体"/>
                <w:color w:val="auto"/>
                <w:szCs w:val="21"/>
                <w:lang w:val="en-US" w:eastAsia="zh-CN"/>
              </w:rPr>
            </w:pPr>
            <w:r>
              <w:rPr>
                <w:rFonts w:hint="eastAsia" w:ascii="宋体" w:hAnsi="宋体" w:eastAsia="宋体" w:cs="宋体"/>
                <w:color w:val="auto"/>
                <w:sz w:val="21"/>
                <w:szCs w:val="21"/>
                <w:highlight w:val="none"/>
              </w:rPr>
              <w:t>质量保证和质量控制措施</w:t>
            </w:r>
            <w:r>
              <w:rPr>
                <w:rFonts w:hint="eastAsia" w:ascii="宋体" w:hAnsi="宋体" w:eastAsia="宋体" w:cs="宋体"/>
                <w:color w:val="auto"/>
                <w:sz w:val="21"/>
                <w:szCs w:val="21"/>
                <w:highlight w:val="none"/>
                <w:lang w:val="en-US" w:eastAsia="zh-CN"/>
              </w:rPr>
              <w:t>（15.0）</w:t>
            </w:r>
          </w:p>
        </w:tc>
        <w:tc>
          <w:tcPr>
            <w:tcW w:w="4932" w:type="dxa"/>
            <w:noWrap w:val="0"/>
            <w:vAlign w:val="center"/>
          </w:tcPr>
          <w:p w14:paraId="4FC9CD19">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供应商针对本项目提供质量保证和质量控制措施（包括但不限于供应商实验室质量体系运行情况，质量保证和质量控制措施等）：</w:t>
            </w:r>
          </w:p>
          <w:p w14:paraId="000876D7">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质量控制方案内容完善、科学合理、可操作性强，满足</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检验检测机构资质认定评审准则》、</w:t>
            </w:r>
            <w:r>
              <w:rPr>
                <w:rFonts w:hint="eastAsia" w:ascii="宋体" w:hAnsi="宋体" w:eastAsia="宋体" w:cs="宋体"/>
                <w:color w:val="auto"/>
                <w:sz w:val="21"/>
                <w:szCs w:val="21"/>
                <w:highlight w:val="none"/>
              </w:rPr>
              <w:t>《检验检测机构资质认定生态环境监测机构评审补充要求》等文件要求，得</w:t>
            </w:r>
            <w:r>
              <w:rPr>
                <w:rFonts w:hint="eastAsia" w:ascii="宋体" w:hAnsi="宋体" w:eastAsia="宋体" w:cs="宋体"/>
                <w:color w:val="auto"/>
                <w:sz w:val="21"/>
                <w:szCs w:val="21"/>
                <w:highlight w:val="none"/>
                <w:lang w:val="en-US" w:eastAsia="zh-CN"/>
              </w:rPr>
              <w:t>15</w:t>
            </w:r>
            <w:r>
              <w:rPr>
                <w:rFonts w:hint="eastAsia" w:ascii="宋体" w:hAnsi="宋体" w:eastAsia="宋体" w:cs="宋体"/>
                <w:color w:val="auto"/>
                <w:sz w:val="21"/>
                <w:szCs w:val="21"/>
                <w:highlight w:val="none"/>
              </w:rPr>
              <w:t>分；</w:t>
            </w:r>
          </w:p>
          <w:p w14:paraId="3A90327F">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质量控制方案内容较完善、较科学合理、可操作性较强，满足</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检验检测机构资质认定评审准则》、</w:t>
            </w:r>
            <w:r>
              <w:rPr>
                <w:rFonts w:hint="eastAsia" w:ascii="宋体" w:hAnsi="宋体" w:eastAsia="宋体" w:cs="宋体"/>
                <w:color w:val="auto"/>
                <w:sz w:val="21"/>
                <w:szCs w:val="21"/>
                <w:highlight w:val="none"/>
              </w:rPr>
              <w:t>《检验检测机构资质认定生态环境监测机构评审补充要求》等文件要求，得</w:t>
            </w:r>
            <w:r>
              <w:rPr>
                <w:rFonts w:hint="eastAsia" w:ascii="宋体" w:hAnsi="宋体" w:eastAsia="宋体" w:cs="宋体"/>
                <w:color w:val="auto"/>
                <w:sz w:val="21"/>
                <w:szCs w:val="21"/>
                <w:highlight w:val="none"/>
                <w:lang w:val="en-US" w:eastAsia="zh-CN"/>
              </w:rPr>
              <w:t>11</w:t>
            </w:r>
            <w:r>
              <w:rPr>
                <w:rFonts w:hint="eastAsia" w:ascii="宋体" w:hAnsi="宋体" w:eastAsia="宋体" w:cs="宋体"/>
                <w:color w:val="auto"/>
                <w:sz w:val="21"/>
                <w:szCs w:val="21"/>
                <w:highlight w:val="none"/>
              </w:rPr>
              <w:t>分；</w:t>
            </w:r>
          </w:p>
          <w:p w14:paraId="2C1D842E">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质量控制方案内容基本完善、基本科学合理、可操作性欠缺，得</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分；</w:t>
            </w:r>
          </w:p>
          <w:p w14:paraId="01E67D8B">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质量控制方案内容不完善、不科学合理、可操作性差，得</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w:t>
            </w:r>
          </w:p>
          <w:p w14:paraId="157095E7">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eastAsia" w:ascii="Calibri" w:hAnsi="Calibri" w:eastAsia="宋体" w:cs="Times New Roman"/>
                <w:lang w:val="en-US" w:eastAsia="zh-CN" w:bidi="ar-SA"/>
              </w:rPr>
            </w:pPr>
            <w:r>
              <w:rPr>
                <w:rFonts w:hint="eastAsia" w:ascii="宋体" w:hAnsi="宋体" w:eastAsia="宋体" w:cs="宋体"/>
                <w:color w:val="auto"/>
                <w:sz w:val="21"/>
                <w:szCs w:val="21"/>
                <w:highlight w:val="none"/>
              </w:rPr>
              <w:t>无或不提供不得分。</w:t>
            </w:r>
          </w:p>
        </w:tc>
        <w:tc>
          <w:tcPr>
            <w:tcW w:w="1231" w:type="dxa"/>
            <w:noWrap w:val="0"/>
            <w:vAlign w:val="center"/>
          </w:tcPr>
          <w:p w14:paraId="154C970D">
            <w:pPr>
              <w:jc w:val="center"/>
              <w:rPr>
                <w:rFonts w:hint="default" w:ascii="宋体" w:hAnsi="宋体" w:eastAsia="宋体"/>
                <w:color w:val="auto"/>
                <w:szCs w:val="21"/>
                <w:lang w:val="en-US" w:eastAsia="zh-CN"/>
              </w:rPr>
            </w:pPr>
            <w:r>
              <w:rPr>
                <w:rFonts w:hint="eastAsia" w:ascii="宋体" w:hAnsi="宋体" w:eastAsia="宋体"/>
                <w:color w:val="auto"/>
                <w:szCs w:val="21"/>
                <w:lang w:val="en-US" w:eastAsia="zh-CN"/>
              </w:rPr>
              <w:t>15</w:t>
            </w:r>
          </w:p>
        </w:tc>
      </w:tr>
      <w:tr w14:paraId="04761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7727" w:type="dxa"/>
            <w:gridSpan w:val="3"/>
            <w:noWrap w:val="0"/>
            <w:vAlign w:val="center"/>
          </w:tcPr>
          <w:p w14:paraId="5C5B604A">
            <w:pPr>
              <w:adjustRightInd w:val="0"/>
              <w:snapToGrid w:val="0"/>
              <w:jc w:val="center"/>
              <w:rPr>
                <w:rFonts w:hint="eastAsia" w:ascii="宋体" w:hAnsi="宋体"/>
                <w:b/>
                <w:color w:val="auto"/>
                <w:szCs w:val="21"/>
              </w:rPr>
            </w:pPr>
            <w:r>
              <w:rPr>
                <w:rFonts w:hint="eastAsia" w:ascii="宋体" w:hAnsi="宋体"/>
                <w:b/>
                <w:color w:val="auto"/>
                <w:szCs w:val="21"/>
              </w:rPr>
              <w:t>合计</w:t>
            </w:r>
          </w:p>
        </w:tc>
        <w:tc>
          <w:tcPr>
            <w:tcW w:w="1231" w:type="dxa"/>
            <w:noWrap w:val="0"/>
            <w:vAlign w:val="center"/>
          </w:tcPr>
          <w:p w14:paraId="51AE2188">
            <w:pPr>
              <w:adjustRightInd w:val="0"/>
              <w:snapToGrid w:val="0"/>
              <w:jc w:val="center"/>
              <w:rPr>
                <w:rFonts w:hint="default" w:ascii="宋体" w:hAnsi="宋体"/>
                <w:bCs/>
                <w:color w:val="auto"/>
                <w:szCs w:val="21"/>
                <w:lang w:val="en-US"/>
              </w:rPr>
            </w:pPr>
            <w:r>
              <w:rPr>
                <w:rFonts w:hint="eastAsia" w:ascii="宋体" w:hAnsi="宋体"/>
                <w:bCs/>
                <w:color w:val="auto"/>
                <w:szCs w:val="21"/>
                <w:lang w:val="en-US" w:eastAsia="zh-CN"/>
              </w:rPr>
              <w:t>50</w:t>
            </w:r>
          </w:p>
        </w:tc>
      </w:tr>
    </w:tbl>
    <w:p w14:paraId="6683909B">
      <w:pPr>
        <w:tabs>
          <w:tab w:val="left" w:pos="720"/>
        </w:tabs>
        <w:spacing w:line="300" w:lineRule="auto"/>
        <w:jc w:val="center"/>
        <w:rPr>
          <w:rFonts w:hint="eastAsia" w:ascii="黑体" w:hAnsi="宋体" w:eastAsia="黑体"/>
          <w:b/>
          <w:color w:val="auto"/>
          <w:szCs w:val="21"/>
        </w:rPr>
      </w:pPr>
      <w:r>
        <w:rPr>
          <w:rFonts w:hint="eastAsia" w:ascii="黑体" w:hAnsi="宋体" w:eastAsia="黑体"/>
          <w:b/>
          <w:color w:val="auto"/>
          <w:kern w:val="0"/>
          <w:szCs w:val="21"/>
          <w:lang w:val="en-US" w:eastAsia="zh-CN"/>
        </w:rPr>
        <w:t>商务</w:t>
      </w:r>
      <w:r>
        <w:rPr>
          <w:rFonts w:hint="eastAsia" w:ascii="黑体" w:hAnsi="宋体" w:eastAsia="黑体"/>
          <w:b/>
          <w:color w:val="auto"/>
          <w:kern w:val="0"/>
          <w:szCs w:val="21"/>
        </w:rPr>
        <w:t>评分表</w:t>
      </w:r>
      <w:r>
        <w:rPr>
          <w:rFonts w:hint="eastAsia" w:ascii="黑体" w:hAnsi="宋体" w:eastAsia="黑体" w:cs="Times New Roman"/>
          <w:b/>
          <w:color w:val="auto"/>
          <w:u w:val="single"/>
          <w:lang w:eastAsia="zh-CN"/>
        </w:rPr>
        <w:t>（商务</w:t>
      </w:r>
      <w:r>
        <w:rPr>
          <w:rFonts w:hint="eastAsia" w:ascii="黑体" w:hAnsi="宋体" w:eastAsia="黑体" w:cs="Times New Roman"/>
          <w:b/>
          <w:color w:val="auto"/>
          <w:u w:val="single"/>
          <w:lang w:val="en-US" w:eastAsia="zh-CN"/>
        </w:rPr>
        <w:t>分值：35分</w:t>
      </w:r>
      <w:r>
        <w:rPr>
          <w:rFonts w:hint="eastAsia" w:ascii="黑体" w:hAnsi="宋体" w:eastAsia="黑体" w:cs="Times New Roman"/>
          <w:b/>
          <w:color w:val="auto"/>
          <w:u w:val="single"/>
          <w:lang w:eastAsia="zh-CN"/>
        </w:rPr>
        <w:t>）</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4"/>
        <w:gridCol w:w="1875"/>
        <w:gridCol w:w="4656"/>
        <w:gridCol w:w="1177"/>
      </w:tblGrid>
      <w:tr w14:paraId="78C30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42" w:type="dxa"/>
            <w:noWrap w:val="0"/>
            <w:vAlign w:val="center"/>
          </w:tcPr>
          <w:p w14:paraId="706655B5">
            <w:pPr>
              <w:adjustRightInd w:val="0"/>
              <w:snapToGrid w:val="0"/>
              <w:jc w:val="center"/>
              <w:rPr>
                <w:rFonts w:hint="eastAsia" w:ascii="宋体" w:hAnsi="宋体"/>
                <w:b/>
                <w:color w:val="auto"/>
                <w:szCs w:val="21"/>
              </w:rPr>
            </w:pPr>
            <w:r>
              <w:rPr>
                <w:rFonts w:hint="eastAsia" w:ascii="宋体" w:hAnsi="宋体"/>
                <w:b/>
                <w:color w:val="auto"/>
                <w:szCs w:val="21"/>
              </w:rPr>
              <w:t>序号</w:t>
            </w:r>
          </w:p>
        </w:tc>
        <w:tc>
          <w:tcPr>
            <w:tcW w:w="1953" w:type="dxa"/>
            <w:noWrap w:val="0"/>
            <w:vAlign w:val="center"/>
          </w:tcPr>
          <w:p w14:paraId="29859A5F">
            <w:pPr>
              <w:adjustRightInd w:val="0"/>
              <w:snapToGrid w:val="0"/>
              <w:jc w:val="center"/>
              <w:rPr>
                <w:rFonts w:hint="eastAsia" w:ascii="宋体" w:hAnsi="宋体"/>
                <w:b/>
                <w:color w:val="auto"/>
                <w:szCs w:val="21"/>
              </w:rPr>
            </w:pPr>
            <w:r>
              <w:rPr>
                <w:rFonts w:hint="eastAsia" w:ascii="宋体" w:hAnsi="宋体"/>
                <w:b/>
                <w:color w:val="auto"/>
                <w:szCs w:val="21"/>
              </w:rPr>
              <w:t>评审项目</w:t>
            </w:r>
          </w:p>
        </w:tc>
        <w:tc>
          <w:tcPr>
            <w:tcW w:w="4932" w:type="dxa"/>
            <w:noWrap w:val="0"/>
            <w:vAlign w:val="center"/>
          </w:tcPr>
          <w:p w14:paraId="39072921">
            <w:pPr>
              <w:adjustRightInd w:val="0"/>
              <w:snapToGrid w:val="0"/>
              <w:jc w:val="center"/>
              <w:rPr>
                <w:rFonts w:ascii="宋体" w:hAnsi="宋体"/>
                <w:b/>
                <w:color w:val="auto"/>
                <w:szCs w:val="21"/>
              </w:rPr>
            </w:pPr>
            <w:r>
              <w:rPr>
                <w:rFonts w:hint="eastAsia" w:ascii="宋体" w:hAnsi="宋体"/>
                <w:b/>
                <w:color w:val="auto"/>
                <w:szCs w:val="21"/>
              </w:rPr>
              <w:t>评审细则</w:t>
            </w:r>
          </w:p>
        </w:tc>
        <w:tc>
          <w:tcPr>
            <w:tcW w:w="1231" w:type="dxa"/>
            <w:noWrap w:val="0"/>
            <w:vAlign w:val="center"/>
          </w:tcPr>
          <w:p w14:paraId="7D801CA2">
            <w:pPr>
              <w:adjustRightInd w:val="0"/>
              <w:snapToGrid w:val="0"/>
              <w:jc w:val="center"/>
              <w:rPr>
                <w:rFonts w:hint="eastAsia" w:ascii="宋体" w:hAnsi="宋体"/>
                <w:b/>
                <w:color w:val="auto"/>
                <w:szCs w:val="21"/>
              </w:rPr>
            </w:pPr>
            <w:r>
              <w:rPr>
                <w:rFonts w:hint="eastAsia" w:ascii="宋体" w:hAnsi="宋体"/>
                <w:b/>
                <w:color w:val="auto"/>
                <w:szCs w:val="21"/>
              </w:rPr>
              <w:t>分值</w:t>
            </w:r>
          </w:p>
        </w:tc>
      </w:tr>
      <w:tr w14:paraId="68B68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42" w:type="dxa"/>
            <w:noWrap w:val="0"/>
            <w:vAlign w:val="center"/>
          </w:tcPr>
          <w:p w14:paraId="25E7C994">
            <w:pPr>
              <w:adjustRightInd w:val="0"/>
              <w:snapToGrid w:val="0"/>
              <w:jc w:val="center"/>
              <w:rPr>
                <w:rFonts w:hint="eastAsia"/>
                <w:color w:val="auto"/>
                <w:szCs w:val="21"/>
              </w:rPr>
            </w:pPr>
            <w:r>
              <w:rPr>
                <w:rFonts w:hint="eastAsia" w:ascii="宋体" w:hAnsi="宋体" w:cs="宋体"/>
                <w:color w:val="auto"/>
                <w:szCs w:val="21"/>
              </w:rPr>
              <w:t>1</w:t>
            </w:r>
          </w:p>
        </w:tc>
        <w:tc>
          <w:tcPr>
            <w:tcW w:w="1953" w:type="dxa"/>
            <w:noWrap w:val="0"/>
            <w:vAlign w:val="center"/>
          </w:tcPr>
          <w:p w14:paraId="4FB7EAC8">
            <w:pPr>
              <w:pStyle w:val="15"/>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同类项目业绩</w:t>
            </w:r>
          </w:p>
          <w:p w14:paraId="7ABD0DAA">
            <w:pPr>
              <w:pStyle w:val="15"/>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cs="宋体" w:eastAsiaTheme="minorEastAsia"/>
                <w:color w:val="auto"/>
                <w:szCs w:val="21"/>
                <w:lang w:eastAsia="zh-CN"/>
              </w:rPr>
            </w:pPr>
            <w:r>
              <w:rPr>
                <w:rFonts w:hint="eastAsia" w:ascii="宋体" w:hAnsi="宋体" w:eastAsia="宋体" w:cs="宋体"/>
                <w:sz w:val="21"/>
                <w:szCs w:val="21"/>
                <w:highlight w:val="none"/>
                <w:lang w:eastAsia="zh-CN"/>
              </w:rPr>
              <w:t>（</w:t>
            </w:r>
            <w:r>
              <w:rPr>
                <w:rFonts w:hint="eastAsia" w:ascii="宋体" w:hAnsi="宋体" w:cs="宋体"/>
                <w:sz w:val="21"/>
                <w:szCs w:val="21"/>
                <w:highlight w:val="none"/>
                <w:lang w:val="en-US" w:eastAsia="zh-CN"/>
              </w:rPr>
              <w:t>5</w:t>
            </w:r>
            <w:r>
              <w:rPr>
                <w:rFonts w:hint="eastAsia" w:ascii="宋体" w:hAnsi="宋体" w:eastAsia="宋体" w:cs="宋体"/>
                <w:sz w:val="21"/>
                <w:szCs w:val="21"/>
                <w:highlight w:val="none"/>
                <w:lang w:val="en-US" w:eastAsia="zh-CN"/>
              </w:rPr>
              <w:t>.0分</w:t>
            </w:r>
            <w:r>
              <w:rPr>
                <w:rFonts w:hint="eastAsia" w:ascii="宋体" w:hAnsi="宋体" w:eastAsia="宋体" w:cs="宋体"/>
                <w:sz w:val="21"/>
                <w:szCs w:val="21"/>
                <w:highlight w:val="none"/>
                <w:lang w:eastAsia="zh-CN"/>
              </w:rPr>
              <w:t>）</w:t>
            </w:r>
          </w:p>
        </w:tc>
        <w:tc>
          <w:tcPr>
            <w:tcW w:w="4932" w:type="dxa"/>
            <w:noWrap w:val="0"/>
            <w:vAlign w:val="top"/>
          </w:tcPr>
          <w:p w14:paraId="209448DE">
            <w:pPr>
              <w:pStyle w:val="15"/>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2024年1月1日至今承接同类环境监测项目业绩的，每提供1个合同或协议或委托书，得</w:t>
            </w:r>
            <w:r>
              <w:rPr>
                <w:rFonts w:hint="eastAsia" w:ascii="宋体" w:hAnsi="宋体" w:cs="宋体"/>
                <w:sz w:val="21"/>
                <w:szCs w:val="21"/>
                <w:highlight w:val="none"/>
                <w:lang w:val="en-US" w:eastAsia="zh-CN"/>
              </w:rPr>
              <w:t>1</w:t>
            </w:r>
            <w:r>
              <w:rPr>
                <w:rFonts w:hint="eastAsia" w:ascii="宋体" w:hAnsi="宋体" w:eastAsia="宋体" w:cs="宋体"/>
                <w:sz w:val="21"/>
                <w:szCs w:val="21"/>
                <w:highlight w:val="none"/>
                <w:lang w:eastAsia="zh-CN"/>
              </w:rPr>
              <w:t>分，最高</w:t>
            </w:r>
            <w:r>
              <w:rPr>
                <w:rFonts w:hint="eastAsia" w:ascii="宋体" w:hAnsi="宋体" w:cs="宋体"/>
                <w:sz w:val="21"/>
                <w:szCs w:val="21"/>
                <w:highlight w:val="none"/>
                <w:lang w:val="en-US" w:eastAsia="zh-CN"/>
              </w:rPr>
              <w:t>5</w:t>
            </w:r>
            <w:r>
              <w:rPr>
                <w:rFonts w:hint="eastAsia" w:ascii="宋体" w:hAnsi="宋体" w:eastAsia="宋体" w:cs="宋体"/>
                <w:sz w:val="21"/>
                <w:szCs w:val="21"/>
                <w:highlight w:val="none"/>
                <w:lang w:eastAsia="zh-CN"/>
              </w:rPr>
              <w:t>分。</w:t>
            </w:r>
          </w:p>
          <w:p w14:paraId="68421D1B">
            <w:pPr>
              <w:pStyle w:val="15"/>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cs="宋体"/>
                <w:color w:val="auto"/>
                <w:szCs w:val="21"/>
              </w:rPr>
            </w:pPr>
            <w:r>
              <w:rPr>
                <w:rFonts w:hint="eastAsia" w:ascii="宋体" w:hAnsi="宋体" w:eastAsia="宋体" w:cs="宋体"/>
                <w:sz w:val="21"/>
                <w:szCs w:val="21"/>
                <w:highlight w:val="none"/>
                <w:lang w:eastAsia="zh-CN"/>
              </w:rPr>
              <w:t>注：以合同或协议或委托书为依据（</w:t>
            </w:r>
            <w:r>
              <w:rPr>
                <w:rFonts w:hint="eastAsia" w:ascii="宋体" w:hAnsi="宋体" w:eastAsia="宋体" w:cs="宋体"/>
                <w:sz w:val="21"/>
                <w:szCs w:val="21"/>
                <w:highlight w:val="none"/>
                <w:lang w:val="en-US" w:eastAsia="zh-CN"/>
              </w:rPr>
              <w:t>以合同签订时间或委托时间为准</w:t>
            </w:r>
            <w:r>
              <w:rPr>
                <w:rFonts w:hint="eastAsia" w:ascii="宋体" w:hAnsi="宋体" w:eastAsia="宋体" w:cs="宋体"/>
                <w:sz w:val="21"/>
                <w:szCs w:val="21"/>
                <w:highlight w:val="none"/>
                <w:lang w:eastAsia="zh-CN"/>
              </w:rPr>
              <w:t>）。</w:t>
            </w:r>
            <w:r>
              <w:rPr>
                <w:rFonts w:hint="eastAsia" w:ascii="宋体" w:hAnsi="宋体" w:cs="宋体"/>
                <w:sz w:val="21"/>
                <w:szCs w:val="21"/>
                <w:highlight w:val="none"/>
                <w:lang w:val="en-US" w:eastAsia="zh-CN"/>
              </w:rPr>
              <w:t>提供复印件，</w:t>
            </w:r>
            <w:r>
              <w:rPr>
                <w:rFonts w:hint="eastAsia" w:ascii="宋体" w:hAnsi="宋体" w:eastAsia="宋体" w:cs="宋体"/>
                <w:sz w:val="21"/>
                <w:szCs w:val="21"/>
                <w:highlight w:val="none"/>
                <w:lang w:eastAsia="zh-CN"/>
              </w:rPr>
              <w:t>不提供不得分。</w:t>
            </w:r>
          </w:p>
        </w:tc>
        <w:tc>
          <w:tcPr>
            <w:tcW w:w="1231" w:type="dxa"/>
            <w:noWrap w:val="0"/>
            <w:vAlign w:val="center"/>
          </w:tcPr>
          <w:p w14:paraId="473F2D22">
            <w:pPr>
              <w:adjustRightInd w:val="0"/>
              <w:snapToGrid w:val="0"/>
              <w:jc w:val="center"/>
              <w:rPr>
                <w:rFonts w:hint="default" w:ascii="宋体" w:hAnsi="宋体" w:cs="宋体"/>
                <w:color w:val="auto"/>
                <w:szCs w:val="21"/>
                <w:lang w:val="en-US"/>
              </w:rPr>
            </w:pPr>
            <w:r>
              <w:rPr>
                <w:rFonts w:hint="eastAsia" w:ascii="宋体" w:hAnsi="宋体" w:cs="宋体"/>
                <w:color w:val="auto"/>
                <w:szCs w:val="21"/>
                <w:lang w:val="en-US" w:eastAsia="zh-CN"/>
              </w:rPr>
              <w:t>5</w:t>
            </w:r>
          </w:p>
        </w:tc>
      </w:tr>
      <w:tr w14:paraId="0D8E3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3" w:hRule="atLeast"/>
          <w:jc w:val="center"/>
        </w:trPr>
        <w:tc>
          <w:tcPr>
            <w:tcW w:w="842" w:type="dxa"/>
            <w:noWrap w:val="0"/>
            <w:vAlign w:val="center"/>
          </w:tcPr>
          <w:p w14:paraId="5807D68E">
            <w:pPr>
              <w:adjustRightInd w:val="0"/>
              <w:snapToGrid w:val="0"/>
              <w:jc w:val="center"/>
              <w:rPr>
                <w:rFonts w:hint="eastAsia" w:ascii="宋体" w:hAnsi="宋体"/>
                <w:color w:val="auto"/>
                <w:szCs w:val="21"/>
              </w:rPr>
            </w:pPr>
            <w:r>
              <w:rPr>
                <w:rFonts w:hint="eastAsia" w:ascii="宋体" w:hAnsi="宋体"/>
                <w:color w:val="auto"/>
                <w:szCs w:val="21"/>
              </w:rPr>
              <w:t>2</w:t>
            </w:r>
          </w:p>
        </w:tc>
        <w:tc>
          <w:tcPr>
            <w:tcW w:w="1953" w:type="dxa"/>
            <w:noWrap w:val="0"/>
            <w:vAlign w:val="center"/>
          </w:tcPr>
          <w:p w14:paraId="6807E98F">
            <w:pPr>
              <w:pStyle w:val="15"/>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cs="宋体"/>
                <w:color w:val="auto"/>
                <w:szCs w:val="21"/>
              </w:rPr>
            </w:pPr>
            <w:r>
              <w:rPr>
                <w:rFonts w:hint="eastAsia" w:ascii="宋体" w:hAnsi="宋体" w:eastAsia="宋体" w:cs="宋体"/>
                <w:sz w:val="21"/>
                <w:szCs w:val="21"/>
                <w:highlight w:val="none"/>
                <w:lang w:eastAsia="zh-CN"/>
              </w:rPr>
              <w:t>人员水平</w:t>
            </w:r>
            <w:r>
              <w:rPr>
                <w:rFonts w:hint="eastAsia" w:ascii="宋体" w:hAnsi="宋体" w:eastAsia="宋体" w:cs="宋体"/>
                <w:sz w:val="21"/>
                <w:szCs w:val="21"/>
                <w:highlight w:val="none"/>
                <w:lang w:eastAsia="zh-CN"/>
              </w:rPr>
              <w:br w:type="textWrapping"/>
            </w:r>
            <w:r>
              <w:rPr>
                <w:rFonts w:hint="eastAsia" w:ascii="宋体" w:hAnsi="宋体" w:eastAsia="宋体" w:cs="宋体"/>
                <w:sz w:val="21"/>
                <w:szCs w:val="21"/>
                <w:highlight w:val="none"/>
                <w:lang w:eastAsia="zh-CN"/>
              </w:rPr>
              <w:t>（</w:t>
            </w:r>
            <w:r>
              <w:rPr>
                <w:rFonts w:hint="eastAsia" w:ascii="宋体" w:hAnsi="宋体" w:cs="宋体"/>
                <w:sz w:val="21"/>
                <w:szCs w:val="21"/>
                <w:highlight w:val="none"/>
                <w:lang w:val="en-US" w:eastAsia="zh-CN"/>
              </w:rPr>
              <w:t>30.0</w:t>
            </w:r>
            <w:r>
              <w:rPr>
                <w:rFonts w:hint="eastAsia" w:ascii="宋体" w:hAnsi="宋体" w:eastAsia="宋体" w:cs="宋体"/>
                <w:sz w:val="21"/>
                <w:szCs w:val="21"/>
                <w:highlight w:val="none"/>
                <w:lang w:val="en-US" w:eastAsia="zh-CN"/>
              </w:rPr>
              <w:t>分</w:t>
            </w:r>
            <w:r>
              <w:rPr>
                <w:rFonts w:hint="eastAsia" w:ascii="宋体" w:hAnsi="宋体" w:eastAsia="宋体" w:cs="宋体"/>
                <w:sz w:val="21"/>
                <w:szCs w:val="21"/>
                <w:highlight w:val="none"/>
                <w:lang w:eastAsia="zh-CN"/>
              </w:rPr>
              <w:t>）</w:t>
            </w:r>
          </w:p>
        </w:tc>
        <w:tc>
          <w:tcPr>
            <w:tcW w:w="4932" w:type="dxa"/>
            <w:noWrap w:val="0"/>
            <w:vAlign w:val="center"/>
          </w:tcPr>
          <w:p w14:paraId="0CBCFC30">
            <w:pPr>
              <w:pStyle w:val="15"/>
              <w:keepNext w:val="0"/>
              <w:keepLines w:val="0"/>
              <w:pageBreakBefore w:val="0"/>
              <w:widowControl/>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1.投入本项目技术人员具有环保部门或具有资质的第三方培训考核机构颁发的上岗合格证或培训证书人员，</w:t>
            </w:r>
            <w:r>
              <w:rPr>
                <w:rFonts w:hint="eastAsia" w:ascii="宋体" w:hAnsi="宋体" w:eastAsia="宋体" w:cs="宋体"/>
                <w:sz w:val="21"/>
                <w:szCs w:val="21"/>
                <w:highlight w:val="none"/>
                <w:lang w:val="en-US" w:eastAsia="zh-CN"/>
              </w:rPr>
              <w:t>每提供一人的，</w:t>
            </w:r>
            <w:r>
              <w:rPr>
                <w:rFonts w:hint="eastAsia" w:ascii="宋体" w:hAnsi="宋体" w:cs="宋体"/>
                <w:sz w:val="21"/>
                <w:szCs w:val="21"/>
                <w:highlight w:val="none"/>
                <w:lang w:val="en-US" w:eastAsia="zh-CN"/>
              </w:rPr>
              <w:t>得1</w:t>
            </w:r>
            <w:r>
              <w:rPr>
                <w:rFonts w:hint="eastAsia" w:ascii="宋体" w:hAnsi="宋体" w:eastAsia="宋体" w:cs="宋体"/>
                <w:sz w:val="21"/>
                <w:szCs w:val="21"/>
                <w:highlight w:val="none"/>
                <w:lang w:val="en-US" w:eastAsia="zh-CN"/>
              </w:rPr>
              <w:t>分，最高得</w:t>
            </w:r>
            <w:r>
              <w:rPr>
                <w:rFonts w:hint="eastAsia" w:ascii="宋体" w:hAnsi="宋体" w:cs="宋体"/>
                <w:sz w:val="21"/>
                <w:szCs w:val="21"/>
                <w:highlight w:val="none"/>
                <w:lang w:val="en-US" w:eastAsia="zh-CN"/>
              </w:rPr>
              <w:t>15</w:t>
            </w:r>
            <w:r>
              <w:rPr>
                <w:rFonts w:hint="eastAsia" w:ascii="宋体" w:hAnsi="宋体" w:eastAsia="宋体" w:cs="宋体"/>
                <w:sz w:val="21"/>
                <w:szCs w:val="21"/>
                <w:highlight w:val="none"/>
                <w:lang w:val="en-US" w:eastAsia="zh-CN"/>
              </w:rPr>
              <w:t>分</w:t>
            </w:r>
            <w:r>
              <w:rPr>
                <w:rFonts w:hint="eastAsia" w:ascii="宋体" w:hAnsi="宋体" w:eastAsia="宋体" w:cs="宋体"/>
                <w:sz w:val="21"/>
                <w:szCs w:val="21"/>
                <w:highlight w:val="none"/>
                <w:lang w:eastAsia="zh-CN"/>
              </w:rPr>
              <w:t>。</w:t>
            </w:r>
          </w:p>
          <w:p w14:paraId="47B59111">
            <w:pPr>
              <w:pStyle w:val="15"/>
              <w:keepNext w:val="0"/>
              <w:keepLines w:val="0"/>
              <w:pageBreakBefore w:val="0"/>
              <w:widowControl/>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2.上述技术人员中，具备环境或化学类相关专业高级职称一人得</w:t>
            </w:r>
            <w:r>
              <w:rPr>
                <w:rFonts w:hint="eastAsia" w:ascii="宋体" w:hAnsi="宋体" w:cs="宋体"/>
                <w:sz w:val="21"/>
                <w:szCs w:val="21"/>
                <w:highlight w:val="none"/>
                <w:lang w:val="en-US" w:eastAsia="zh-CN"/>
              </w:rPr>
              <w:t>3</w:t>
            </w:r>
            <w:r>
              <w:rPr>
                <w:rFonts w:hint="eastAsia" w:ascii="宋体" w:hAnsi="宋体" w:eastAsia="宋体" w:cs="宋体"/>
                <w:sz w:val="21"/>
                <w:szCs w:val="21"/>
                <w:highlight w:val="none"/>
                <w:lang w:eastAsia="zh-CN"/>
              </w:rPr>
              <w:t>分；最高得</w:t>
            </w:r>
            <w:r>
              <w:rPr>
                <w:rFonts w:hint="eastAsia" w:ascii="宋体" w:hAnsi="宋体" w:cs="宋体"/>
                <w:sz w:val="21"/>
                <w:szCs w:val="21"/>
                <w:highlight w:val="none"/>
                <w:lang w:val="en-US" w:eastAsia="zh-CN"/>
              </w:rPr>
              <w:t>6</w:t>
            </w:r>
            <w:r>
              <w:rPr>
                <w:rFonts w:hint="eastAsia" w:ascii="宋体" w:hAnsi="宋体" w:eastAsia="宋体" w:cs="宋体"/>
                <w:sz w:val="21"/>
                <w:szCs w:val="21"/>
                <w:highlight w:val="none"/>
                <w:lang w:eastAsia="zh-CN"/>
              </w:rPr>
              <w:t>分；</w:t>
            </w:r>
          </w:p>
          <w:p w14:paraId="25AAD615">
            <w:pPr>
              <w:pStyle w:val="15"/>
              <w:keepNext w:val="0"/>
              <w:keepLines w:val="0"/>
              <w:pageBreakBefore w:val="0"/>
              <w:widowControl/>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3．上述技术人员中，具备环境或化学类相关专业中级职称一人得1分；最高得</w:t>
            </w:r>
            <w:r>
              <w:rPr>
                <w:rFonts w:hint="eastAsia" w:ascii="宋体" w:hAnsi="宋体" w:cs="宋体"/>
                <w:sz w:val="21"/>
                <w:szCs w:val="21"/>
                <w:highlight w:val="none"/>
                <w:lang w:val="en-US" w:eastAsia="zh-CN"/>
              </w:rPr>
              <w:t>9</w:t>
            </w:r>
            <w:r>
              <w:rPr>
                <w:rFonts w:hint="eastAsia" w:ascii="宋体" w:hAnsi="宋体" w:eastAsia="宋体" w:cs="宋体"/>
                <w:sz w:val="21"/>
                <w:szCs w:val="21"/>
                <w:highlight w:val="none"/>
                <w:lang w:eastAsia="zh-CN"/>
              </w:rPr>
              <w:t>分。</w:t>
            </w:r>
          </w:p>
          <w:p w14:paraId="50B93F9B">
            <w:pPr>
              <w:pStyle w:val="15"/>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合计共</w:t>
            </w:r>
            <w:r>
              <w:rPr>
                <w:rFonts w:hint="eastAsia" w:ascii="宋体" w:hAnsi="宋体" w:cs="宋体"/>
                <w:sz w:val="21"/>
                <w:szCs w:val="21"/>
                <w:highlight w:val="none"/>
                <w:lang w:val="en-US" w:eastAsia="zh-CN"/>
              </w:rPr>
              <w:t>30</w:t>
            </w:r>
            <w:r>
              <w:rPr>
                <w:rFonts w:hint="eastAsia" w:ascii="宋体" w:hAnsi="宋体" w:eastAsia="宋体" w:cs="宋体"/>
                <w:sz w:val="21"/>
                <w:szCs w:val="21"/>
                <w:highlight w:val="none"/>
                <w:lang w:eastAsia="zh-CN"/>
              </w:rPr>
              <w:t>分。</w:t>
            </w:r>
          </w:p>
          <w:p w14:paraId="48ED7809">
            <w:pPr>
              <w:pStyle w:val="15"/>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cs="宋体"/>
                <w:color w:val="auto"/>
                <w:szCs w:val="21"/>
              </w:rPr>
            </w:pPr>
            <w:r>
              <w:rPr>
                <w:rFonts w:hint="eastAsia" w:ascii="宋体" w:hAnsi="宋体" w:eastAsia="宋体" w:cs="宋体"/>
                <w:sz w:val="21"/>
                <w:szCs w:val="21"/>
                <w:highlight w:val="none"/>
                <w:lang w:eastAsia="zh-CN"/>
              </w:rPr>
              <w:t>注：</w:t>
            </w:r>
            <w:r>
              <w:rPr>
                <w:rFonts w:hint="eastAsia" w:ascii="宋体" w:hAnsi="宋体" w:eastAsia="宋体" w:cs="宋体"/>
                <w:sz w:val="21"/>
                <w:szCs w:val="21"/>
                <w:highlight w:val="none"/>
                <w:lang w:val="en-US" w:eastAsia="zh-CN"/>
              </w:rPr>
              <w:t>同一人员不得在上述第2点及第3点中重复得分，</w:t>
            </w:r>
            <w:r>
              <w:rPr>
                <w:rFonts w:hint="eastAsia" w:ascii="宋体" w:hAnsi="宋体" w:eastAsia="宋体" w:cs="宋体"/>
                <w:sz w:val="21"/>
                <w:szCs w:val="21"/>
                <w:highlight w:val="none"/>
                <w:lang w:eastAsia="zh-CN"/>
              </w:rPr>
              <w:t>同时提供：①上岗合格证或培训证书复印件，如满足职称要求的人员，还须同时提供职称证书复印件；②在本单位任职的证明材料（如劳动合同，或加盖所在地区政府有关部门印章的打印日期在本项目提交响应文件截止日之前三个月以内任一月的《投保单》或《社会保险参保人员证明》，或单位代缴个人所得税税单等）。否则不得</w:t>
            </w:r>
            <w:r>
              <w:rPr>
                <w:rFonts w:hint="eastAsia" w:ascii="宋体" w:hAnsi="宋体" w:eastAsia="宋体" w:cs="宋体"/>
                <w:color w:val="auto"/>
                <w:sz w:val="21"/>
                <w:szCs w:val="21"/>
                <w:highlight w:val="none"/>
                <w:lang w:eastAsia="zh-CN"/>
              </w:rPr>
              <w:t>分。</w:t>
            </w:r>
            <w:r>
              <w:rPr>
                <w:rFonts w:hint="eastAsia" w:ascii="宋体" w:hAnsi="宋体" w:cs="宋体"/>
                <w:color w:val="auto"/>
                <w:sz w:val="21"/>
                <w:szCs w:val="21"/>
                <w:highlight w:val="none"/>
                <w:lang w:val="en-US" w:eastAsia="zh-CN"/>
              </w:rPr>
              <w:t>如证书为</w:t>
            </w:r>
            <w:r>
              <w:rPr>
                <w:rFonts w:hint="eastAsia" w:ascii="宋体" w:hAnsi="宋体" w:eastAsia="宋体" w:cs="宋体"/>
                <w:color w:val="auto"/>
                <w:sz w:val="21"/>
                <w:szCs w:val="21"/>
                <w:highlight w:val="none"/>
                <w:lang w:eastAsia="zh-CN"/>
              </w:rPr>
              <w:t>第三方培训考核机构</w:t>
            </w:r>
            <w:r>
              <w:rPr>
                <w:rFonts w:hint="eastAsia" w:ascii="宋体" w:hAnsi="宋体" w:cs="宋体"/>
                <w:color w:val="auto"/>
                <w:sz w:val="21"/>
                <w:szCs w:val="21"/>
                <w:highlight w:val="none"/>
                <w:lang w:val="en-US" w:eastAsia="zh-CN"/>
              </w:rPr>
              <w:t>颁发的，则需提供该培训机构在人社部门许可（或备案）或行业主管部门许可（或备案）的证明材料。</w:t>
            </w:r>
          </w:p>
        </w:tc>
        <w:tc>
          <w:tcPr>
            <w:tcW w:w="1231" w:type="dxa"/>
            <w:noWrap w:val="0"/>
            <w:vAlign w:val="center"/>
          </w:tcPr>
          <w:p w14:paraId="304A9A7F">
            <w:pPr>
              <w:adjustRightInd w:val="0"/>
              <w:snapToGrid w:val="0"/>
              <w:jc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30</w:t>
            </w:r>
          </w:p>
        </w:tc>
      </w:tr>
      <w:tr w14:paraId="1317F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7727" w:type="dxa"/>
            <w:gridSpan w:val="3"/>
            <w:noWrap w:val="0"/>
            <w:vAlign w:val="center"/>
          </w:tcPr>
          <w:p w14:paraId="4D337131">
            <w:pPr>
              <w:adjustRightInd w:val="0"/>
              <w:snapToGrid w:val="0"/>
              <w:jc w:val="center"/>
              <w:rPr>
                <w:rFonts w:ascii="宋体" w:hAnsi="宋体" w:cs="宋体"/>
                <w:color w:val="auto"/>
                <w:szCs w:val="21"/>
              </w:rPr>
            </w:pPr>
            <w:r>
              <w:rPr>
                <w:rFonts w:hint="eastAsia" w:ascii="宋体" w:hAnsi="宋体"/>
                <w:b/>
                <w:color w:val="auto"/>
                <w:szCs w:val="21"/>
              </w:rPr>
              <w:t>合计</w:t>
            </w:r>
          </w:p>
        </w:tc>
        <w:tc>
          <w:tcPr>
            <w:tcW w:w="1231" w:type="dxa"/>
            <w:noWrap w:val="0"/>
            <w:vAlign w:val="center"/>
          </w:tcPr>
          <w:p w14:paraId="619A56F1">
            <w:pPr>
              <w:adjustRightInd w:val="0"/>
              <w:snapToGrid w:val="0"/>
              <w:jc w:val="center"/>
              <w:rPr>
                <w:rFonts w:hint="default" w:ascii="宋体" w:hAnsi="宋体" w:cs="宋体"/>
                <w:color w:val="auto"/>
                <w:szCs w:val="21"/>
                <w:lang w:val="en-US" w:eastAsia="zh-CN"/>
              </w:rPr>
            </w:pPr>
            <w:r>
              <w:rPr>
                <w:rFonts w:hint="eastAsia" w:ascii="宋体" w:hAnsi="宋体"/>
                <w:bCs/>
                <w:color w:val="auto"/>
                <w:szCs w:val="21"/>
                <w:lang w:val="en-US" w:eastAsia="zh-CN"/>
              </w:rPr>
              <w:t>35</w:t>
            </w:r>
          </w:p>
        </w:tc>
      </w:tr>
    </w:tbl>
    <w:p w14:paraId="69968E4E">
      <w:pPr>
        <w:spacing w:before="240"/>
        <w:rPr>
          <w:rFonts w:hint="eastAsia" w:ascii="宋体" w:hAnsi="宋体"/>
          <w:b/>
          <w:color w:val="auto"/>
          <w:szCs w:val="21"/>
        </w:rPr>
      </w:pPr>
      <w:r>
        <w:rPr>
          <w:rFonts w:hint="eastAsia" w:ascii="宋体" w:hAnsi="宋体"/>
          <w:b/>
          <w:color w:val="auto"/>
          <w:szCs w:val="21"/>
        </w:rPr>
        <w:t>备注：</w:t>
      </w:r>
    </w:p>
    <w:p w14:paraId="55DC148B">
      <w:pPr>
        <w:numPr>
          <w:ilvl w:val="0"/>
          <w:numId w:val="2"/>
        </w:numPr>
        <w:spacing w:before="240"/>
        <w:rPr>
          <w:rFonts w:hint="eastAsia" w:ascii="宋体" w:hAnsi="宋体"/>
          <w:b/>
          <w:bCs/>
          <w:color w:val="auto"/>
          <w:szCs w:val="21"/>
        </w:rPr>
      </w:pPr>
      <w:r>
        <w:rPr>
          <w:rFonts w:hint="eastAsia" w:ascii="宋体" w:hAnsi="宋体"/>
          <w:b/>
          <w:bCs/>
          <w:color w:val="auto"/>
          <w:szCs w:val="21"/>
          <w:lang w:eastAsia="zh-CN"/>
        </w:rPr>
        <w:t>需求书</w:t>
      </w:r>
      <w:r>
        <w:rPr>
          <w:rFonts w:hint="eastAsia" w:ascii="宋体" w:hAnsi="宋体"/>
          <w:b/>
          <w:bCs/>
          <w:color w:val="auto"/>
          <w:szCs w:val="21"/>
        </w:rPr>
        <w:t>要求提交的与评价指标体系相关的各类有效资料，</w:t>
      </w:r>
      <w:r>
        <w:rPr>
          <w:rFonts w:hint="eastAsia" w:ascii="宋体" w:hAnsi="宋体"/>
          <w:b/>
          <w:bCs/>
          <w:color w:val="auto"/>
          <w:szCs w:val="21"/>
          <w:lang w:eastAsia="zh-CN"/>
        </w:rPr>
        <w:t>响应人</w:t>
      </w:r>
      <w:r>
        <w:rPr>
          <w:rFonts w:hint="eastAsia" w:ascii="宋体" w:hAnsi="宋体"/>
          <w:b/>
          <w:bCs/>
          <w:color w:val="auto"/>
          <w:szCs w:val="21"/>
        </w:rPr>
        <w:t>如未按要求提交的，该项评分为零分；</w:t>
      </w:r>
    </w:p>
    <w:p w14:paraId="52E3B2D9">
      <w:pPr>
        <w:numPr>
          <w:ilvl w:val="0"/>
          <w:numId w:val="2"/>
        </w:numPr>
        <w:spacing w:before="240"/>
        <w:rPr>
          <w:rFonts w:hint="eastAsia" w:ascii="宋体" w:hAnsi="宋体"/>
          <w:color w:val="auto"/>
          <w:kern w:val="0"/>
          <w:szCs w:val="21"/>
        </w:rPr>
      </w:pPr>
      <w:r>
        <w:rPr>
          <w:rFonts w:hint="eastAsia" w:ascii="宋体" w:hAnsi="宋体"/>
          <w:b/>
          <w:bCs/>
          <w:color w:val="auto"/>
          <w:szCs w:val="21"/>
        </w:rPr>
        <w:t>仅对已通过资格性</w:t>
      </w:r>
      <w:r>
        <w:rPr>
          <w:rFonts w:hint="eastAsia" w:ascii="宋体" w:hAnsi="宋体"/>
          <w:b/>
          <w:bCs/>
          <w:color w:val="auto"/>
          <w:szCs w:val="21"/>
          <w:lang w:eastAsia="zh-CN"/>
        </w:rPr>
        <w:t>审查</w:t>
      </w:r>
      <w:r>
        <w:rPr>
          <w:rFonts w:hint="eastAsia" w:ascii="宋体" w:hAnsi="宋体"/>
          <w:b/>
          <w:bCs/>
          <w:color w:val="auto"/>
          <w:szCs w:val="21"/>
        </w:rPr>
        <w:t>的投标文件进行评分；评分小数点保留至0.1；</w:t>
      </w:r>
    </w:p>
    <w:p w14:paraId="00DF3593">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01" w:line="560" w:lineRule="exact"/>
        <w:ind w:firstLine="560" w:firstLineChars="200"/>
        <w:rPr>
          <w:sz w:val="28"/>
          <w:szCs w:val="28"/>
        </w:rPr>
      </w:pPr>
    </w:p>
    <w:p w14:paraId="09D77D45">
      <w:pPr>
        <w:rPr>
          <w:rFonts w:hint="default" w:ascii="楷体" w:hAnsi="楷体" w:eastAsia="楷体" w:cs="楷体"/>
          <w:b/>
          <w:bCs/>
          <w:spacing w:val="15"/>
          <w:sz w:val="32"/>
          <w:szCs w:val="32"/>
          <w:lang w:val="en-US" w:eastAsia="zh-CN"/>
        </w:rPr>
      </w:pPr>
      <w:r>
        <w:rPr>
          <w:rFonts w:hint="default" w:ascii="楷体" w:hAnsi="楷体" w:eastAsia="楷体" w:cs="楷体"/>
          <w:b/>
          <w:bCs/>
          <w:spacing w:val="15"/>
          <w:sz w:val="32"/>
          <w:szCs w:val="32"/>
          <w:lang w:val="en-US" w:eastAsia="zh-CN"/>
        </w:rPr>
        <w:br w:type="page"/>
      </w:r>
    </w:p>
    <w:p w14:paraId="68416765">
      <w:pPr>
        <w:pStyle w:val="6"/>
        <w:tabs>
          <w:tab w:val="left" w:pos="567"/>
        </w:tabs>
        <w:adjustRightInd w:val="0"/>
        <w:snapToGrid w:val="0"/>
        <w:spacing w:line="300" w:lineRule="auto"/>
        <w:jc w:val="center"/>
        <w:outlineLvl w:val="1"/>
        <w:rPr>
          <w:rFonts w:hint="eastAsia" w:ascii="黑体" w:hAnsi="宋体" w:eastAsia="黑体" w:cs="Times New Roman"/>
          <w:b/>
          <w:color w:val="auto"/>
        </w:rPr>
      </w:pPr>
      <w:r>
        <w:rPr>
          <w:rFonts w:hint="eastAsia" w:ascii="黑体" w:hAnsi="宋体" w:eastAsia="黑体" w:cs="Times New Roman"/>
          <w:b/>
          <w:color w:val="auto"/>
        </w:rPr>
        <w:t>价格评分表</w:t>
      </w:r>
      <w:r>
        <w:rPr>
          <w:rFonts w:hint="eastAsia" w:ascii="黑体" w:hAnsi="宋体" w:eastAsia="黑体" w:cs="Times New Roman"/>
          <w:b/>
          <w:color w:val="auto"/>
          <w:u w:val="single"/>
          <w:lang w:eastAsia="zh-CN"/>
        </w:rPr>
        <w:t>（</w:t>
      </w:r>
      <w:r>
        <w:rPr>
          <w:rFonts w:hint="eastAsia" w:ascii="黑体" w:hAnsi="宋体" w:eastAsia="黑体" w:cs="Times New Roman"/>
          <w:b/>
          <w:color w:val="auto"/>
          <w:u w:val="single"/>
          <w:lang w:val="en-US" w:eastAsia="zh-CN"/>
        </w:rPr>
        <w:t>价格分值：10分</w:t>
      </w:r>
      <w:r>
        <w:rPr>
          <w:rFonts w:hint="eastAsia" w:ascii="黑体" w:hAnsi="宋体" w:eastAsia="黑体" w:cs="Times New Roman"/>
          <w:b/>
          <w:color w:val="auto"/>
          <w:u w:val="single"/>
          <w:lang w:eastAsia="zh-CN"/>
        </w:rPr>
        <w:t>）</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96"/>
      </w:tblGrid>
      <w:tr w14:paraId="04846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396" w:type="dxa"/>
            <w:noWrap w:val="0"/>
            <w:vAlign w:val="top"/>
          </w:tcPr>
          <w:p w14:paraId="44BFD6E4">
            <w:pPr>
              <w:tabs>
                <w:tab w:val="left" w:pos="567"/>
              </w:tabs>
              <w:spacing w:line="360" w:lineRule="auto"/>
              <w:ind w:firstLine="420" w:firstLineChars="200"/>
              <w:rPr>
                <w:rFonts w:hint="eastAsia" w:ascii="宋体" w:hAnsi="宋体"/>
                <w:color w:val="auto"/>
                <w:kern w:val="0"/>
                <w:szCs w:val="21"/>
              </w:rPr>
            </w:pPr>
            <w:r>
              <w:rPr>
                <w:rFonts w:hint="eastAsia" w:ascii="宋体" w:hAnsi="宋体"/>
                <w:color w:val="auto"/>
                <w:kern w:val="0"/>
                <w:szCs w:val="21"/>
              </w:rPr>
              <w:t>价格分采用低价优先法计算，即满足招标文件要求且</w:t>
            </w:r>
            <w:r>
              <w:rPr>
                <w:rFonts w:hint="eastAsia" w:ascii="宋体" w:hAnsi="宋体"/>
                <w:color w:val="auto"/>
                <w:kern w:val="0"/>
                <w:szCs w:val="21"/>
                <w:lang w:val="en-US" w:eastAsia="zh-CN"/>
              </w:rPr>
              <w:t>投标折扣率</w:t>
            </w:r>
            <w:r>
              <w:rPr>
                <w:rFonts w:hint="eastAsia" w:ascii="宋体" w:hAnsi="宋体"/>
                <w:color w:val="auto"/>
                <w:kern w:val="0"/>
                <w:szCs w:val="21"/>
              </w:rPr>
              <w:t>最</w:t>
            </w:r>
            <w:r>
              <w:rPr>
                <w:rFonts w:hint="eastAsia" w:ascii="宋体" w:hAnsi="宋体"/>
                <w:color w:val="auto"/>
                <w:kern w:val="0"/>
                <w:szCs w:val="21"/>
                <w:lang w:val="en-US" w:eastAsia="zh-CN"/>
              </w:rPr>
              <w:t>低</w:t>
            </w:r>
            <w:r>
              <w:rPr>
                <w:rFonts w:hint="eastAsia" w:ascii="宋体" w:hAnsi="宋体"/>
                <w:color w:val="auto"/>
                <w:kern w:val="0"/>
                <w:szCs w:val="21"/>
              </w:rPr>
              <w:t>的报价为</w:t>
            </w:r>
            <w:r>
              <w:rPr>
                <w:rFonts w:hint="eastAsia" w:ascii="宋体" w:hAnsi="宋体"/>
                <w:b/>
                <w:bCs/>
                <w:color w:val="auto"/>
                <w:kern w:val="0"/>
                <w:szCs w:val="21"/>
              </w:rPr>
              <w:t>评标基准</w:t>
            </w:r>
            <w:r>
              <w:rPr>
                <w:rFonts w:hint="eastAsia" w:ascii="宋体" w:hAnsi="宋体"/>
                <w:b/>
                <w:bCs/>
                <w:color w:val="auto"/>
                <w:kern w:val="0"/>
                <w:szCs w:val="21"/>
                <w:lang w:val="en-US" w:eastAsia="zh-CN"/>
              </w:rPr>
              <w:t>价</w:t>
            </w:r>
            <w:r>
              <w:rPr>
                <w:rFonts w:hint="eastAsia" w:ascii="宋体" w:hAnsi="宋体"/>
                <w:color w:val="auto"/>
                <w:kern w:val="0"/>
                <w:szCs w:val="21"/>
              </w:rPr>
              <w:t>，其价格分为满分。其他</w:t>
            </w:r>
            <w:r>
              <w:rPr>
                <w:rFonts w:hint="eastAsia" w:ascii="宋体" w:hAnsi="宋体"/>
                <w:color w:val="auto"/>
                <w:kern w:val="0"/>
                <w:szCs w:val="21"/>
                <w:lang w:eastAsia="zh-CN"/>
              </w:rPr>
              <w:t>响应人</w:t>
            </w:r>
            <w:r>
              <w:rPr>
                <w:rFonts w:hint="eastAsia" w:ascii="宋体" w:hAnsi="宋体"/>
                <w:color w:val="auto"/>
                <w:kern w:val="0"/>
                <w:szCs w:val="21"/>
              </w:rPr>
              <w:t>的价格分统一按照下列公式计算：</w:t>
            </w:r>
          </w:p>
          <w:p w14:paraId="3028577F">
            <w:pPr>
              <w:tabs>
                <w:tab w:val="left" w:pos="567"/>
              </w:tabs>
              <w:spacing w:line="360" w:lineRule="auto"/>
              <w:ind w:firstLine="630" w:firstLineChars="300"/>
              <w:rPr>
                <w:rFonts w:hint="eastAsia" w:ascii="宋体" w:hAnsi="宋体"/>
                <w:color w:val="auto"/>
                <w:kern w:val="0"/>
                <w:szCs w:val="21"/>
              </w:rPr>
            </w:pPr>
            <w:r>
              <w:rPr>
                <w:rFonts w:hint="eastAsia" w:ascii="宋体" w:hAnsi="宋体"/>
                <w:color w:val="auto"/>
                <w:kern w:val="0"/>
                <w:szCs w:val="21"/>
                <w:lang w:eastAsia="zh-CN"/>
              </w:rPr>
              <w:t>响应人</w:t>
            </w:r>
            <w:r>
              <w:rPr>
                <w:rFonts w:hint="eastAsia" w:ascii="宋体" w:hAnsi="宋体"/>
                <w:color w:val="auto"/>
                <w:kern w:val="0"/>
                <w:szCs w:val="21"/>
              </w:rPr>
              <w:t>价格得分＝</w:t>
            </w:r>
            <w:r>
              <w:rPr>
                <w:rFonts w:hint="eastAsia" w:ascii="宋体" w:hAnsi="宋体"/>
                <w:color w:val="auto"/>
                <w:kern w:val="0"/>
                <w:szCs w:val="21"/>
                <w:lang w:val="en-US" w:eastAsia="zh-CN"/>
              </w:rPr>
              <w:t>评标基准价÷投标价（折扣率）</w:t>
            </w:r>
            <w:r>
              <w:rPr>
                <w:rFonts w:hint="eastAsia" w:ascii="宋体" w:hAnsi="宋体"/>
                <w:color w:val="auto"/>
                <w:kern w:val="0"/>
                <w:szCs w:val="21"/>
              </w:rPr>
              <w:t>×价格分值</w:t>
            </w:r>
          </w:p>
          <w:p w14:paraId="4A9A42C7">
            <w:pPr>
              <w:widowControl/>
              <w:adjustRightInd w:val="0"/>
              <w:snapToGrid w:val="0"/>
              <w:spacing w:line="264" w:lineRule="auto"/>
              <w:jc w:val="left"/>
              <w:rPr>
                <w:rFonts w:ascii="宋体" w:hAnsi="宋体" w:cs="宋体"/>
                <w:color w:val="auto"/>
                <w:szCs w:val="21"/>
              </w:rPr>
            </w:pPr>
            <w:r>
              <w:rPr>
                <w:rFonts w:hint="eastAsia" w:ascii="宋体" w:hAnsi="宋体"/>
                <w:bCs/>
                <w:color w:val="auto"/>
                <w:szCs w:val="21"/>
                <w:lang w:eastAsia="zh-CN"/>
              </w:rPr>
              <w:t>1.</w:t>
            </w:r>
            <w:r>
              <w:rPr>
                <w:rFonts w:hint="eastAsia" w:ascii="宋体" w:hAnsi="宋体"/>
                <w:bCs/>
                <w:color w:val="auto"/>
                <w:szCs w:val="21"/>
              </w:rPr>
              <w:t>因落实政府采购政策进行价格调整的，以调整后的价格计算评标基准价和投标报价</w:t>
            </w:r>
            <w:r>
              <w:rPr>
                <w:rFonts w:hint="eastAsia" w:ascii="宋体" w:hAnsi="宋体" w:cs="宋体"/>
                <w:color w:val="auto"/>
                <w:szCs w:val="21"/>
              </w:rPr>
              <w:t>；</w:t>
            </w:r>
          </w:p>
          <w:p w14:paraId="4C154D86">
            <w:pPr>
              <w:tabs>
                <w:tab w:val="left" w:pos="567"/>
              </w:tabs>
              <w:spacing w:line="360" w:lineRule="auto"/>
              <w:rPr>
                <w:rFonts w:hint="eastAsia" w:ascii="宋体" w:hAnsi="宋体"/>
                <w:color w:val="auto"/>
                <w:kern w:val="0"/>
                <w:szCs w:val="21"/>
              </w:rPr>
            </w:pPr>
            <w:r>
              <w:rPr>
                <w:rFonts w:hint="eastAsia" w:ascii="宋体" w:hAnsi="宋体"/>
                <w:bCs/>
                <w:color w:val="auto"/>
                <w:szCs w:val="21"/>
                <w:lang w:eastAsia="zh-CN"/>
              </w:rPr>
              <w:t>2.</w:t>
            </w:r>
            <w:r>
              <w:rPr>
                <w:rFonts w:hint="eastAsia" w:ascii="宋体" w:hAnsi="宋体"/>
                <w:bCs/>
                <w:color w:val="auto"/>
                <w:szCs w:val="21"/>
              </w:rPr>
              <w:t>投标报价得分四舍五入后，</w:t>
            </w:r>
            <w:r>
              <w:rPr>
                <w:rFonts w:hint="eastAsia" w:ascii="宋体" w:hAnsi="宋体" w:cs="Arial"/>
                <w:color w:val="auto"/>
                <w:szCs w:val="21"/>
              </w:rPr>
              <w:t>小数点后保留</w:t>
            </w:r>
            <w:r>
              <w:rPr>
                <w:rFonts w:hint="eastAsia" w:ascii="宋体" w:hAnsi="宋体"/>
                <w:b/>
                <w:bCs/>
                <w:color w:val="auto"/>
                <w:szCs w:val="21"/>
              </w:rPr>
              <w:t>至0.1</w:t>
            </w:r>
            <w:r>
              <w:rPr>
                <w:rFonts w:hint="eastAsia" w:ascii="宋体" w:hAnsi="宋体"/>
                <w:bCs/>
                <w:color w:val="auto"/>
                <w:szCs w:val="21"/>
              </w:rPr>
              <w:t>；</w:t>
            </w:r>
          </w:p>
        </w:tc>
      </w:tr>
    </w:tbl>
    <w:p w14:paraId="67254851">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both"/>
        <w:rPr>
          <w:rFonts w:hint="eastAsia" w:ascii="仿宋" w:hAnsi="仿宋" w:eastAsia="仿宋" w:cs="仿宋"/>
          <w:i w:val="0"/>
          <w:iCs w:val="0"/>
          <w:color w:val="000000"/>
          <w:spacing w:val="0"/>
          <w:sz w:val="24"/>
          <w:szCs w:val="24"/>
          <w:shd w:val="clear" w:fill="FFFFFF"/>
          <w:lang w:val="en-US" w:eastAsia="zh-CN"/>
        </w:rPr>
      </w:pPr>
    </w:p>
    <w:p w14:paraId="5F109A48">
      <w:pPr>
        <w:pStyle w:val="6"/>
        <w:tabs>
          <w:tab w:val="left" w:pos="567"/>
        </w:tabs>
        <w:adjustRightInd w:val="0"/>
        <w:snapToGrid w:val="0"/>
        <w:spacing w:line="300" w:lineRule="auto"/>
        <w:jc w:val="center"/>
        <w:outlineLvl w:val="1"/>
        <w:rPr>
          <w:rFonts w:hint="eastAsia" w:ascii="黑体" w:hAnsi="宋体" w:eastAsia="黑体" w:cs="Times New Roman"/>
          <w:b/>
          <w:color w:val="auto"/>
        </w:rPr>
      </w:pPr>
      <w:r>
        <w:rPr>
          <w:rFonts w:hint="eastAsia" w:ascii="黑体" w:hAnsi="宋体" w:eastAsia="黑体" w:cs="Times New Roman"/>
          <w:b/>
          <w:color w:val="auto"/>
          <w:lang w:val="en-US" w:eastAsia="zh-CN"/>
        </w:rPr>
        <w:t>综合信用分</w:t>
      </w:r>
      <w:r>
        <w:rPr>
          <w:rFonts w:hint="eastAsia" w:ascii="黑体" w:hAnsi="宋体" w:eastAsia="黑体" w:cs="Times New Roman"/>
          <w:b/>
          <w:color w:val="auto"/>
          <w:u w:val="single"/>
          <w:lang w:eastAsia="zh-CN"/>
        </w:rPr>
        <w:t>（</w:t>
      </w:r>
      <w:r>
        <w:rPr>
          <w:rFonts w:hint="eastAsia" w:ascii="黑体" w:hAnsi="宋体" w:eastAsia="黑体" w:cs="Times New Roman"/>
          <w:b/>
          <w:color w:val="auto"/>
          <w:u w:val="single"/>
          <w:lang w:val="en-US" w:eastAsia="zh-CN"/>
        </w:rPr>
        <w:t>分值：5分</w:t>
      </w:r>
      <w:r>
        <w:rPr>
          <w:rFonts w:hint="eastAsia" w:ascii="黑体" w:hAnsi="宋体" w:eastAsia="黑体" w:cs="Times New Roman"/>
          <w:b/>
          <w:color w:val="auto"/>
          <w:u w:val="single"/>
          <w:lang w:eastAsia="zh-CN"/>
        </w:rPr>
        <w:t>）</w:t>
      </w:r>
    </w:p>
    <w:tbl>
      <w:tblPr>
        <w:tblStyle w:val="11"/>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88"/>
        <w:gridCol w:w="1503"/>
        <w:gridCol w:w="7005"/>
      </w:tblGrid>
      <w:tr w14:paraId="2468FE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trPr>
        <w:tc>
          <w:tcPr>
            <w:tcW w:w="888" w:type="dxa"/>
            <w:shd w:val="clear" w:color="auto" w:fill="auto"/>
            <w:vAlign w:val="center"/>
          </w:tcPr>
          <w:p w14:paraId="1F95C76C">
            <w:pPr>
              <w:rPr>
                <w:rFonts w:hint="eastAsia" w:ascii="宋体" w:hAnsi="宋体" w:eastAsia="宋体" w:cs="宋体"/>
                <w:sz w:val="21"/>
                <w:szCs w:val="21"/>
                <w:highlight w:val="none"/>
                <w:lang w:val="en-US" w:eastAsia="zh-Hans"/>
              </w:rPr>
            </w:pPr>
            <w:r>
              <w:rPr>
                <w:rFonts w:hint="eastAsia" w:ascii="仿宋" w:hAnsi="仿宋" w:eastAsia="仿宋" w:cs="仿宋"/>
                <w:i w:val="0"/>
                <w:iCs w:val="0"/>
                <w:color w:val="000000"/>
                <w:spacing w:val="0"/>
                <w:sz w:val="24"/>
                <w:szCs w:val="24"/>
                <w:shd w:val="clear" w:fill="FFFFFF"/>
                <w:lang w:val="en-US" w:eastAsia="zh-CN"/>
              </w:rPr>
              <w:br w:type="page"/>
            </w:r>
            <w:r>
              <w:rPr>
                <w:rFonts w:hint="eastAsia" w:ascii="宋体" w:hAnsi="宋体" w:eastAsia="宋体" w:cs="宋体"/>
                <w:sz w:val="21"/>
                <w:szCs w:val="21"/>
                <w:highlight w:val="none"/>
              </w:rPr>
              <w:t>综合信用分</w:t>
            </w:r>
          </w:p>
        </w:tc>
        <w:tc>
          <w:tcPr>
            <w:tcW w:w="1503" w:type="dxa"/>
            <w:shd w:val="clear" w:color="auto" w:fill="auto"/>
            <w:vAlign w:val="center"/>
          </w:tcPr>
          <w:p w14:paraId="31C479E5">
            <w:pPr>
              <w:pStyle w:val="15"/>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highlight w:val="none"/>
                <w:lang w:val="en-US" w:eastAsia="zh-Hans"/>
              </w:rPr>
            </w:pPr>
            <w:r>
              <w:rPr>
                <w:rFonts w:hint="eastAsia" w:ascii="宋体" w:hAnsi="宋体" w:eastAsia="宋体" w:cs="宋体"/>
                <w:sz w:val="21"/>
                <w:szCs w:val="21"/>
                <w:highlight w:val="none"/>
              </w:rPr>
              <w:t>综合信用评价 (5.0分)</w:t>
            </w:r>
          </w:p>
        </w:tc>
        <w:tc>
          <w:tcPr>
            <w:tcW w:w="7005" w:type="dxa"/>
            <w:shd w:val="clear" w:color="auto" w:fill="auto"/>
            <w:vAlign w:val="top"/>
          </w:tcPr>
          <w:p w14:paraId="5A80872E">
            <w:pPr>
              <w:pStyle w:val="1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highlight w:val="none"/>
                <w:lang w:val="en-US" w:eastAsia="zh-Hans"/>
              </w:rPr>
            </w:pPr>
            <w:bookmarkStart w:id="1" w:name="OLE_LINK2"/>
            <w:r>
              <w:rPr>
                <w:rFonts w:hint="eastAsia" w:ascii="宋体" w:hAnsi="宋体" w:eastAsia="宋体" w:cs="宋体"/>
                <w:sz w:val="21"/>
                <w:szCs w:val="21"/>
                <w:highlight w:val="none"/>
              </w:rPr>
              <w:t>综合信用评价得分=投标人的广州公共资源交易信用评价（政府采购供应商信用评价分）×5%。 投标人的信用评价分以开标当天广州交易集团有限公司网站公布的分值为准（通过“广州交易集团有限公司网站-信用信息-广州公共资源交易信用平台3.0” 进行核实，未能在网站查询到供应商信用评价分的，以当天信用评价基准分计算）。</w:t>
            </w:r>
            <w:bookmarkEnd w:id="1"/>
          </w:p>
        </w:tc>
      </w:tr>
    </w:tbl>
    <w:p w14:paraId="79B9CFE9">
      <w:pPr>
        <w:rPr>
          <w:rFonts w:hint="eastAsia" w:ascii="仿宋" w:hAnsi="仿宋" w:eastAsia="仿宋" w:cs="仿宋"/>
          <w:i w:val="0"/>
          <w:iCs w:val="0"/>
          <w:color w:val="000000"/>
          <w:spacing w:val="0"/>
          <w:sz w:val="24"/>
          <w:szCs w:val="24"/>
          <w:shd w:val="clear" w:fill="FFFFFF"/>
          <w:lang w:val="en-US" w:eastAsia="zh-CN"/>
        </w:rPr>
      </w:pPr>
    </w:p>
    <w:p w14:paraId="2FE1E275">
      <w:pPr>
        <w:rPr>
          <w:rFonts w:hint="eastAsia" w:ascii="Times New Roman" w:hAnsi="Times New Roman" w:eastAsia="黑体" w:cs="Times New Roman"/>
          <w:b w:val="0"/>
          <w:bCs w:val="0"/>
          <w:color w:val="auto"/>
          <w:sz w:val="32"/>
          <w:szCs w:val="32"/>
          <w:lang w:val="en-US" w:eastAsia="zh-CN"/>
        </w:rPr>
      </w:pPr>
      <w:bookmarkStart w:id="2" w:name="_Toc22426"/>
      <w:r>
        <w:rPr>
          <w:rFonts w:hint="eastAsia" w:ascii="Times New Roman" w:hAnsi="Times New Roman" w:eastAsia="黑体" w:cs="Times New Roman"/>
          <w:b w:val="0"/>
          <w:bCs w:val="0"/>
          <w:color w:val="auto"/>
          <w:sz w:val="32"/>
          <w:szCs w:val="32"/>
          <w:lang w:val="en-US" w:eastAsia="zh-CN"/>
        </w:rPr>
        <w:br w:type="page"/>
      </w:r>
    </w:p>
    <w:p w14:paraId="6D43DCC5">
      <w:pPr>
        <w:keepNext w:val="0"/>
        <w:keepLines w:val="0"/>
        <w:pageBreakBefore w:val="0"/>
        <w:widowControl/>
        <w:kinsoku/>
        <w:wordWrap/>
        <w:overflowPunct/>
        <w:topLinePunct w:val="0"/>
        <w:autoSpaceDN/>
        <w:bidi w:val="0"/>
        <w:spacing w:line="560" w:lineRule="exact"/>
        <w:jc w:val="both"/>
        <w:rPr>
          <w:rFonts w:hint="eastAsia" w:ascii="Times New Roman" w:hAnsi="Times New Roman" w:eastAsia="黑体" w:cs="Times New Roman"/>
          <w:b w:val="0"/>
          <w:bCs w:val="0"/>
          <w:color w:val="auto"/>
          <w:sz w:val="32"/>
          <w:szCs w:val="32"/>
          <w:lang w:val="en-US" w:eastAsia="zh-CN"/>
        </w:rPr>
      </w:pPr>
      <w:r>
        <w:rPr>
          <w:rFonts w:hint="eastAsia" w:ascii="Times New Roman" w:hAnsi="Times New Roman" w:eastAsia="黑体" w:cs="Times New Roman"/>
          <w:b w:val="0"/>
          <w:bCs w:val="0"/>
          <w:color w:val="auto"/>
          <w:sz w:val="32"/>
          <w:szCs w:val="32"/>
          <w:lang w:val="en-US" w:eastAsia="zh-CN"/>
        </w:rPr>
        <w:t xml:space="preserve">附件3 </w:t>
      </w:r>
      <w:bookmarkEnd w:id="2"/>
    </w:p>
    <w:p w14:paraId="6114ADD6">
      <w:pPr>
        <w:spacing w:line="360" w:lineRule="auto"/>
        <w:jc w:val="center"/>
        <w:rPr>
          <w:rFonts w:hint="eastAsia" w:ascii="宋体" w:hAnsi="宋体" w:cs="Arial"/>
          <w:b/>
          <w:color w:val="auto"/>
          <w:sz w:val="28"/>
          <w:szCs w:val="28"/>
        </w:rPr>
      </w:pPr>
      <w:r>
        <w:rPr>
          <w:rFonts w:hint="eastAsia" w:ascii="宋体" w:hAnsi="宋体" w:cs="Arial"/>
          <w:b/>
          <w:color w:val="auto"/>
          <w:sz w:val="28"/>
          <w:szCs w:val="28"/>
          <w:lang w:eastAsia="zh-CN"/>
        </w:rPr>
        <w:t>报价</w:t>
      </w:r>
      <w:r>
        <w:rPr>
          <w:rFonts w:hint="eastAsia" w:ascii="宋体" w:hAnsi="宋体" w:cs="Arial"/>
          <w:b/>
          <w:color w:val="auto"/>
          <w:sz w:val="28"/>
          <w:szCs w:val="28"/>
        </w:rPr>
        <w:t>一览表</w:t>
      </w:r>
    </w:p>
    <w:p w14:paraId="3C42A287">
      <w:pPr>
        <w:rPr>
          <w:rFonts w:hint="eastAsia"/>
          <w:color w:val="auto"/>
        </w:rPr>
      </w:pPr>
    </w:p>
    <w:p w14:paraId="0ED56C1F">
      <w:pPr>
        <w:rPr>
          <w:rFonts w:hint="eastAsia" w:ascii="宋体" w:hAnsi="宋体" w:eastAsia="宋体"/>
          <w:color w:val="auto"/>
          <w:szCs w:val="21"/>
          <w:u w:val="single"/>
          <w:lang w:eastAsia="zh-CN"/>
        </w:rPr>
      </w:pPr>
      <w:r>
        <w:rPr>
          <w:rFonts w:hint="eastAsia" w:ascii="宋体" w:hAnsi="宋体"/>
          <w:color w:val="auto"/>
          <w:szCs w:val="21"/>
        </w:rPr>
        <w:t>项目名称</w:t>
      </w:r>
      <w:r>
        <w:rPr>
          <w:rFonts w:hint="eastAsia" w:ascii="宋体" w:hAnsi="宋体"/>
          <w:color w:val="auto"/>
          <w:szCs w:val="21"/>
          <w:lang w:eastAsia="zh-CN"/>
        </w:rPr>
        <w:t>：</w:t>
      </w:r>
      <w:r>
        <w:rPr>
          <w:rFonts w:hint="eastAsia" w:ascii="宋体" w:hAnsi="宋体"/>
          <w:color w:val="auto"/>
          <w:szCs w:val="21"/>
        </w:rPr>
        <w:t xml:space="preserve"> </w:t>
      </w:r>
      <w:r>
        <w:rPr>
          <w:rFonts w:hint="eastAsia" w:ascii="宋体" w:hAnsi="宋体"/>
          <w:color w:val="auto"/>
          <w:szCs w:val="21"/>
          <w:u w:val="single"/>
          <w:lang w:val="en-US" w:eastAsia="zh-CN"/>
        </w:rPr>
        <w:t>广州市生态环境局荔湾环境监测站2026年监测任务外委项目</w:t>
      </w:r>
    </w:p>
    <w:p w14:paraId="367C088C">
      <w:pPr>
        <w:rPr>
          <w:rFonts w:hint="eastAsia" w:ascii="宋体" w:hAnsi="宋体"/>
          <w:color w:val="auto"/>
          <w:szCs w:val="21"/>
        </w:rPr>
      </w:pPr>
      <w:r>
        <w:rPr>
          <w:rFonts w:hint="eastAsia" w:ascii="宋体" w:hAnsi="宋体"/>
          <w:color w:val="auto"/>
          <w:szCs w:val="21"/>
        </w:rPr>
        <w:t xml:space="preserve">   </w:t>
      </w:r>
    </w:p>
    <w:p w14:paraId="7E9083C0">
      <w:pPr>
        <w:rPr>
          <w:rFonts w:hint="eastAsia" w:ascii="宋体" w:hAnsi="宋体"/>
          <w:color w:val="auto"/>
          <w:szCs w:val="21"/>
        </w:rPr>
      </w:pPr>
      <w:r>
        <w:rPr>
          <w:rFonts w:hint="eastAsia" w:ascii="宋体" w:hAnsi="宋体"/>
          <w:color w:val="auto"/>
          <w:szCs w:val="21"/>
        </w:rPr>
        <w:t xml:space="preserve">                </w:t>
      </w:r>
    </w:p>
    <w:tbl>
      <w:tblPr>
        <w:tblStyle w:val="11"/>
        <w:tblW w:w="8303"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7"/>
        <w:gridCol w:w="4963"/>
        <w:gridCol w:w="1323"/>
      </w:tblGrid>
      <w:tr w14:paraId="1DF8840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2017" w:type="dxa"/>
            <w:noWrap w:val="0"/>
            <w:vAlign w:val="center"/>
          </w:tcPr>
          <w:p w14:paraId="6357CF15">
            <w:pPr>
              <w:spacing w:line="360" w:lineRule="auto"/>
              <w:jc w:val="center"/>
              <w:rPr>
                <w:rFonts w:hint="eastAsia" w:ascii="宋体" w:hAnsi="宋体"/>
                <w:b/>
                <w:color w:val="auto"/>
                <w:szCs w:val="21"/>
              </w:rPr>
            </w:pPr>
            <w:r>
              <w:rPr>
                <w:rFonts w:hint="eastAsia" w:ascii="宋体" w:hAnsi="宋体"/>
                <w:b/>
                <w:color w:val="auto"/>
                <w:szCs w:val="21"/>
                <w:lang w:eastAsia="zh-CN"/>
              </w:rPr>
              <w:t>响应</w:t>
            </w:r>
            <w:r>
              <w:rPr>
                <w:rFonts w:hint="eastAsia" w:ascii="宋体" w:hAnsi="宋体"/>
                <w:b/>
                <w:color w:val="auto"/>
                <w:szCs w:val="21"/>
              </w:rPr>
              <w:t>内容</w:t>
            </w:r>
          </w:p>
        </w:tc>
        <w:tc>
          <w:tcPr>
            <w:tcW w:w="4963" w:type="dxa"/>
            <w:noWrap w:val="0"/>
            <w:tcMar>
              <w:left w:w="0" w:type="dxa"/>
              <w:right w:w="0" w:type="dxa"/>
            </w:tcMar>
            <w:vAlign w:val="center"/>
          </w:tcPr>
          <w:p w14:paraId="0FF9C10F">
            <w:pPr>
              <w:jc w:val="center"/>
              <w:rPr>
                <w:rFonts w:hint="eastAsia" w:ascii="宋体" w:hAnsi="宋体" w:eastAsia="宋体"/>
                <w:b/>
                <w:color w:val="auto"/>
                <w:szCs w:val="21"/>
                <w:lang w:eastAsia="zh-CN"/>
              </w:rPr>
            </w:pPr>
            <w:r>
              <w:rPr>
                <w:rFonts w:hint="eastAsia" w:ascii="宋体" w:hAnsi="宋体"/>
                <w:b/>
                <w:bCs/>
                <w:color w:val="auto"/>
                <w:lang w:val="en-US" w:eastAsia="zh-CN"/>
              </w:rPr>
              <w:t>响应</w:t>
            </w:r>
            <w:r>
              <w:rPr>
                <w:rFonts w:hint="eastAsia" w:ascii="宋体" w:hAnsi="宋体"/>
                <w:b/>
                <w:bCs/>
                <w:color w:val="auto"/>
              </w:rPr>
              <w:t>报价</w:t>
            </w:r>
            <w:r>
              <w:rPr>
                <w:rFonts w:hint="eastAsia" w:ascii="宋体" w:hAnsi="宋体"/>
                <w:b/>
                <w:bCs/>
                <w:color w:val="auto"/>
                <w:szCs w:val="21"/>
              </w:rPr>
              <w:t>（</w:t>
            </w:r>
            <w:r>
              <w:rPr>
                <w:rFonts w:hint="eastAsia" w:ascii="宋体" w:hAnsi="宋体"/>
                <w:b/>
                <w:bCs/>
                <w:color w:val="auto"/>
                <w:szCs w:val="21"/>
                <w:lang w:val="en-US" w:eastAsia="zh-CN"/>
              </w:rPr>
              <w:t>折扣率 %，保留至小数点后1位</w:t>
            </w:r>
            <w:r>
              <w:rPr>
                <w:rFonts w:hint="eastAsia" w:ascii="宋体" w:hAnsi="宋体"/>
                <w:b/>
                <w:bCs/>
                <w:color w:val="auto"/>
                <w:szCs w:val="21"/>
              </w:rPr>
              <w:t>）</w:t>
            </w:r>
          </w:p>
        </w:tc>
        <w:tc>
          <w:tcPr>
            <w:tcW w:w="1323" w:type="dxa"/>
            <w:noWrap w:val="0"/>
            <w:vAlign w:val="center"/>
          </w:tcPr>
          <w:p w14:paraId="7774140C">
            <w:pPr>
              <w:spacing w:line="360" w:lineRule="auto"/>
              <w:jc w:val="center"/>
              <w:rPr>
                <w:rFonts w:hint="eastAsia" w:ascii="宋体" w:hAnsi="宋体"/>
                <w:b/>
                <w:color w:val="auto"/>
                <w:szCs w:val="21"/>
              </w:rPr>
            </w:pPr>
            <w:r>
              <w:rPr>
                <w:rFonts w:hint="eastAsia" w:ascii="宋体" w:hAnsi="宋体"/>
                <w:b/>
                <w:color w:val="auto"/>
                <w:szCs w:val="21"/>
              </w:rPr>
              <w:t>备注</w:t>
            </w:r>
          </w:p>
        </w:tc>
      </w:tr>
      <w:tr w14:paraId="6CF53CF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257" w:hRule="atLeast"/>
          <w:jc w:val="center"/>
        </w:trPr>
        <w:tc>
          <w:tcPr>
            <w:tcW w:w="2017" w:type="dxa"/>
            <w:noWrap w:val="0"/>
            <w:vAlign w:val="center"/>
          </w:tcPr>
          <w:p w14:paraId="4023B9C8">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rPr>
                <w:rFonts w:hint="eastAsia" w:ascii="宋体" w:hAnsi="宋体" w:eastAsia="宋体"/>
                <w:color w:val="auto"/>
                <w:szCs w:val="21"/>
                <w:lang w:eastAsia="zh-CN"/>
              </w:rPr>
            </w:pPr>
            <w:r>
              <w:rPr>
                <w:rFonts w:hint="eastAsia" w:ascii="方正仿宋_GB2312" w:hAnsi="方正仿宋_GB2312" w:eastAsia="方正仿宋_GB2312" w:cs="方正仿宋_GB2312"/>
                <w:b w:val="0"/>
                <w:bCs w:val="0"/>
                <w:sz w:val="24"/>
                <w:szCs w:val="24"/>
                <w:lang w:val="en-US" w:eastAsia="zh-CN"/>
              </w:rPr>
              <w:t>甲方委托的</w:t>
            </w:r>
            <w:r>
              <w:rPr>
                <w:rFonts w:hint="eastAsia" w:ascii="仿宋" w:hAnsi="仿宋" w:eastAsia="仿宋" w:cs="仿宋"/>
                <w:b w:val="0"/>
                <w:bCs w:val="0"/>
                <w:sz w:val="24"/>
                <w:szCs w:val="24"/>
                <w:lang w:val="en-US" w:eastAsia="zh-CN"/>
              </w:rPr>
              <w:t>环境检测项目</w:t>
            </w:r>
          </w:p>
        </w:tc>
        <w:tc>
          <w:tcPr>
            <w:tcW w:w="4963" w:type="dxa"/>
            <w:noWrap w:val="0"/>
            <w:vAlign w:val="center"/>
          </w:tcPr>
          <w:p w14:paraId="216A01E2">
            <w:pPr>
              <w:spacing w:line="300" w:lineRule="auto"/>
              <w:ind w:firstLine="1050" w:firstLineChars="500"/>
              <w:jc w:val="both"/>
              <w:rPr>
                <w:rFonts w:hint="default" w:ascii="宋体" w:hAnsi="宋体"/>
                <w:color w:val="auto"/>
                <w:szCs w:val="21"/>
                <w:lang w:val="en-US"/>
              </w:rPr>
            </w:pPr>
          </w:p>
        </w:tc>
        <w:tc>
          <w:tcPr>
            <w:tcW w:w="1323" w:type="dxa"/>
            <w:noWrap w:val="0"/>
            <w:vAlign w:val="center"/>
          </w:tcPr>
          <w:p w14:paraId="38EE3F78">
            <w:pPr>
              <w:spacing w:line="300" w:lineRule="auto"/>
              <w:jc w:val="center"/>
              <w:rPr>
                <w:rFonts w:hint="eastAsia" w:ascii="宋体" w:hAnsi="宋体"/>
                <w:color w:val="auto"/>
                <w:szCs w:val="21"/>
              </w:rPr>
            </w:pPr>
          </w:p>
        </w:tc>
      </w:tr>
    </w:tbl>
    <w:p w14:paraId="170831C3">
      <w:pPr>
        <w:spacing w:line="360" w:lineRule="exact"/>
        <w:rPr>
          <w:rFonts w:ascii="宋体" w:hAnsi="宋体"/>
          <w:vanish/>
          <w:color w:val="auto"/>
          <w:szCs w:val="21"/>
        </w:rPr>
      </w:pPr>
    </w:p>
    <w:p w14:paraId="627C91C4">
      <w:pPr>
        <w:rPr>
          <w:rFonts w:hint="eastAsia"/>
          <w:color w:val="auto"/>
        </w:rPr>
      </w:pPr>
    </w:p>
    <w:p w14:paraId="404EBEB1">
      <w:pPr>
        <w:adjustRightInd w:val="0"/>
        <w:snapToGrid w:val="0"/>
        <w:spacing w:line="300" w:lineRule="auto"/>
        <w:rPr>
          <w:rFonts w:hint="eastAsia" w:ascii="宋体" w:hAnsi="宋体"/>
          <w:color w:val="auto"/>
          <w:szCs w:val="21"/>
        </w:rPr>
      </w:pPr>
    </w:p>
    <w:p w14:paraId="06E9A831">
      <w:pPr>
        <w:adjustRightInd w:val="0"/>
        <w:snapToGrid w:val="0"/>
        <w:spacing w:line="300" w:lineRule="auto"/>
        <w:rPr>
          <w:rFonts w:hint="eastAsia" w:ascii="宋体" w:hAnsi="宋体"/>
          <w:color w:val="auto"/>
          <w:szCs w:val="21"/>
          <w:u w:val="single"/>
        </w:rPr>
      </w:pPr>
      <w:r>
        <w:rPr>
          <w:rFonts w:hint="eastAsia" w:ascii="宋体" w:hAnsi="宋体"/>
          <w:color w:val="auto"/>
          <w:szCs w:val="21"/>
          <w:lang w:val="en-US" w:eastAsia="zh-CN"/>
        </w:rPr>
        <w:t>响应人</w:t>
      </w:r>
      <w:r>
        <w:rPr>
          <w:rFonts w:hint="eastAsia" w:ascii="宋体" w:hAnsi="宋体"/>
          <w:color w:val="auto"/>
          <w:szCs w:val="21"/>
        </w:rPr>
        <w:t>名称（单位盖公章）：</w:t>
      </w:r>
      <w:r>
        <w:rPr>
          <w:rFonts w:hint="eastAsia" w:ascii="宋体" w:hAnsi="宋体"/>
          <w:color w:val="auto"/>
          <w:szCs w:val="21"/>
          <w:u w:val="single"/>
        </w:rPr>
        <w:t xml:space="preserve">                        </w:t>
      </w:r>
    </w:p>
    <w:p w14:paraId="24224F7E">
      <w:pPr>
        <w:adjustRightInd w:val="0"/>
        <w:snapToGrid w:val="0"/>
        <w:spacing w:line="300" w:lineRule="auto"/>
        <w:rPr>
          <w:rFonts w:hint="eastAsia" w:ascii="宋体" w:hAnsi="宋体"/>
          <w:color w:val="auto"/>
          <w:szCs w:val="21"/>
        </w:rPr>
      </w:pPr>
    </w:p>
    <w:p w14:paraId="3A73764E">
      <w:pPr>
        <w:adjustRightInd w:val="0"/>
        <w:snapToGrid w:val="0"/>
        <w:spacing w:line="300" w:lineRule="auto"/>
        <w:rPr>
          <w:rFonts w:hint="eastAsia" w:ascii="宋体" w:hAnsi="宋体"/>
          <w:color w:val="auto"/>
          <w:szCs w:val="21"/>
        </w:rPr>
      </w:pPr>
      <w:r>
        <w:rPr>
          <w:rFonts w:hint="eastAsia" w:ascii="宋体" w:hAnsi="宋体"/>
          <w:color w:val="auto"/>
          <w:szCs w:val="21"/>
        </w:rPr>
        <w:t>日期：</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 xml:space="preserve"> 月</w:t>
      </w:r>
      <w:r>
        <w:rPr>
          <w:rFonts w:hint="eastAsia" w:ascii="宋体" w:hAnsi="宋体"/>
          <w:color w:val="auto"/>
          <w:szCs w:val="21"/>
          <w:u w:val="single"/>
        </w:rPr>
        <w:t xml:space="preserve">    </w:t>
      </w:r>
      <w:r>
        <w:rPr>
          <w:rFonts w:hint="eastAsia" w:ascii="宋体" w:hAnsi="宋体"/>
          <w:color w:val="auto"/>
          <w:szCs w:val="21"/>
        </w:rPr>
        <w:t xml:space="preserve"> 日</w:t>
      </w:r>
    </w:p>
    <w:p w14:paraId="4E3B88B6">
      <w:pPr>
        <w:rPr>
          <w:rFonts w:hint="eastAsia" w:ascii="宋体" w:hAnsi="宋体"/>
          <w:color w:val="auto"/>
          <w:szCs w:val="21"/>
        </w:rPr>
      </w:pPr>
      <w:r>
        <w:rPr>
          <w:rFonts w:hint="eastAsia" w:ascii="宋体" w:hAnsi="宋体"/>
          <w:color w:val="auto"/>
          <w:szCs w:val="21"/>
        </w:rPr>
        <w:br w:type="page"/>
      </w:r>
    </w:p>
    <w:p w14:paraId="71C774B4">
      <w:pPr>
        <w:adjustRightInd w:val="0"/>
        <w:snapToGrid w:val="0"/>
        <w:spacing w:line="360" w:lineRule="auto"/>
        <w:jc w:val="left"/>
        <w:rPr>
          <w:rFonts w:ascii="宋体" w:hAnsi="宋体"/>
          <w:b/>
          <w:spacing w:val="200"/>
          <w:sz w:val="72"/>
          <w:szCs w:val="72"/>
        </w:rPr>
      </w:pPr>
      <w:r>
        <w:rPr>
          <w:rFonts w:hint="eastAsia" w:ascii="Times New Roman" w:hAnsi="Times New Roman" w:eastAsia="黑体" w:cs="Times New Roman"/>
          <w:b w:val="0"/>
          <w:bCs w:val="0"/>
          <w:color w:val="auto"/>
          <w:sz w:val="32"/>
          <w:szCs w:val="32"/>
          <w:lang w:val="en-US" w:eastAsia="zh-CN"/>
        </w:rPr>
        <w:t>附件4</w:t>
      </w:r>
    </w:p>
    <w:p w14:paraId="40C1D6CE">
      <w:pPr>
        <w:adjustRightInd w:val="0"/>
        <w:snapToGrid w:val="0"/>
        <w:spacing w:line="360" w:lineRule="auto"/>
        <w:jc w:val="center"/>
        <w:rPr>
          <w:rFonts w:ascii="宋体" w:hAnsi="宋体"/>
          <w:b/>
          <w:spacing w:val="200"/>
          <w:sz w:val="72"/>
          <w:szCs w:val="72"/>
        </w:rPr>
      </w:pPr>
    </w:p>
    <w:p w14:paraId="6CDC51AB">
      <w:pPr>
        <w:adjustRightInd w:val="0"/>
        <w:snapToGrid w:val="0"/>
        <w:spacing w:line="360" w:lineRule="auto"/>
        <w:jc w:val="center"/>
        <w:rPr>
          <w:rFonts w:hint="eastAsia" w:ascii="宋体" w:hAnsi="宋体"/>
          <w:b/>
          <w:spacing w:val="200"/>
          <w:sz w:val="72"/>
          <w:szCs w:val="72"/>
        </w:rPr>
      </w:pPr>
      <w:r>
        <w:rPr>
          <w:rFonts w:hint="eastAsia" w:ascii="宋体" w:hAnsi="宋体"/>
          <w:b/>
          <w:spacing w:val="200"/>
          <w:sz w:val="72"/>
          <w:szCs w:val="72"/>
        </w:rPr>
        <w:t>合同书</w:t>
      </w:r>
    </w:p>
    <w:p w14:paraId="3EC46B28">
      <w:pPr>
        <w:adjustRightInd w:val="0"/>
        <w:snapToGrid w:val="0"/>
        <w:spacing w:line="360" w:lineRule="auto"/>
        <w:jc w:val="center"/>
        <w:rPr>
          <w:rFonts w:hint="eastAsia" w:ascii="宋体" w:hAnsi="宋体" w:eastAsiaTheme="minorEastAsia"/>
          <w:b/>
          <w:spacing w:val="200"/>
          <w:sz w:val="72"/>
          <w:szCs w:val="72"/>
          <w:lang w:eastAsia="zh-CN"/>
        </w:rPr>
      </w:pPr>
      <w:r>
        <w:rPr>
          <w:rFonts w:hint="eastAsia" w:ascii="宋体" w:hAnsi="宋体"/>
          <w:b/>
          <w:spacing w:val="200"/>
          <w:sz w:val="72"/>
          <w:szCs w:val="72"/>
          <w:lang w:eastAsia="zh-CN"/>
        </w:rPr>
        <w:t>（格式）</w:t>
      </w:r>
    </w:p>
    <w:p w14:paraId="2DA3D238">
      <w:pPr>
        <w:adjustRightInd w:val="0"/>
        <w:snapToGrid w:val="0"/>
        <w:spacing w:line="360" w:lineRule="auto"/>
        <w:jc w:val="center"/>
        <w:rPr>
          <w:rFonts w:ascii="宋体" w:hAnsi="宋体"/>
          <w:b/>
          <w:sz w:val="32"/>
        </w:rPr>
      </w:pPr>
    </w:p>
    <w:p w14:paraId="73C447D5">
      <w:pPr>
        <w:adjustRightInd w:val="0"/>
        <w:snapToGrid w:val="0"/>
        <w:spacing w:line="360" w:lineRule="auto"/>
        <w:jc w:val="center"/>
        <w:rPr>
          <w:rFonts w:ascii="宋体" w:hAnsi="宋体"/>
          <w:b/>
          <w:sz w:val="32"/>
        </w:rPr>
      </w:pPr>
    </w:p>
    <w:p w14:paraId="2A2D260C">
      <w:pPr>
        <w:adjustRightInd w:val="0"/>
        <w:snapToGrid w:val="0"/>
        <w:spacing w:line="360" w:lineRule="auto"/>
        <w:jc w:val="center"/>
        <w:rPr>
          <w:rFonts w:ascii="宋体" w:hAnsi="宋体"/>
          <w:b/>
          <w:sz w:val="32"/>
        </w:rPr>
      </w:pPr>
    </w:p>
    <w:p w14:paraId="20303BE2">
      <w:pPr>
        <w:adjustRightInd w:val="0"/>
        <w:snapToGrid w:val="0"/>
        <w:spacing w:line="360" w:lineRule="auto"/>
        <w:jc w:val="center"/>
        <w:rPr>
          <w:rFonts w:ascii="宋体" w:hAnsi="宋体"/>
          <w:b/>
          <w:sz w:val="32"/>
        </w:rPr>
      </w:pPr>
    </w:p>
    <w:p w14:paraId="759E008B">
      <w:pPr>
        <w:adjustRightInd w:val="0"/>
        <w:snapToGrid w:val="0"/>
        <w:spacing w:line="360" w:lineRule="auto"/>
        <w:jc w:val="center"/>
        <w:rPr>
          <w:rFonts w:ascii="宋体" w:hAnsi="宋体"/>
          <w:b/>
          <w:sz w:val="32"/>
        </w:rPr>
      </w:pPr>
    </w:p>
    <w:p w14:paraId="77DF6D37">
      <w:pPr>
        <w:adjustRightInd w:val="0"/>
        <w:snapToGrid w:val="0"/>
        <w:spacing w:line="360" w:lineRule="auto"/>
        <w:ind w:firstLine="843" w:firstLineChars="300"/>
        <w:rPr>
          <w:rFonts w:ascii="宋体" w:hAnsi="宋体"/>
          <w:b/>
          <w:sz w:val="28"/>
          <w:u w:val="single"/>
        </w:rPr>
      </w:pPr>
      <w:r>
        <w:rPr>
          <w:rFonts w:hint="eastAsia" w:ascii="宋体" w:hAnsi="宋体"/>
          <w:b/>
          <w:sz w:val="28"/>
        </w:rPr>
        <w:t>甲    方：</w:t>
      </w:r>
      <w:r>
        <w:rPr>
          <w:rFonts w:hint="eastAsia" w:ascii="宋体" w:hAnsi="宋体"/>
          <w:b/>
          <w:sz w:val="28"/>
          <w:u w:val="single"/>
        </w:rPr>
        <w:t xml:space="preserve"> </w:t>
      </w:r>
      <w:r>
        <w:rPr>
          <w:rFonts w:hint="eastAsia" w:ascii="宋体" w:hAnsi="宋体"/>
          <w:b/>
          <w:sz w:val="28"/>
          <w:u w:val="single"/>
          <w:lang w:val="en-US" w:eastAsia="zh-CN"/>
        </w:rPr>
        <w:t xml:space="preserve">                          </w:t>
      </w:r>
      <w:r>
        <w:rPr>
          <w:rFonts w:hint="eastAsia" w:ascii="宋体" w:hAnsi="宋体"/>
          <w:b/>
          <w:sz w:val="28"/>
          <w:u w:val="single"/>
        </w:rPr>
        <w:t xml:space="preserve"> </w:t>
      </w:r>
      <w:r>
        <w:rPr>
          <w:rFonts w:hint="eastAsia" w:ascii="宋体" w:hAnsi="宋体"/>
          <w:b/>
          <w:sz w:val="28"/>
        </w:rPr>
        <w:t xml:space="preserve">          </w:t>
      </w:r>
    </w:p>
    <w:p w14:paraId="4967FC4C">
      <w:pPr>
        <w:adjustRightInd w:val="0"/>
        <w:snapToGrid w:val="0"/>
        <w:spacing w:line="360" w:lineRule="auto"/>
        <w:ind w:firstLine="843" w:firstLineChars="300"/>
        <w:rPr>
          <w:rFonts w:ascii="宋体" w:hAnsi="宋体"/>
          <w:b/>
          <w:sz w:val="28"/>
        </w:rPr>
      </w:pPr>
      <w:r>
        <w:rPr>
          <w:rFonts w:hint="eastAsia" w:ascii="宋体" w:hAnsi="宋体"/>
          <w:b/>
          <w:sz w:val="28"/>
        </w:rPr>
        <w:t>乙    方：</w:t>
      </w:r>
      <w:r>
        <w:rPr>
          <w:rFonts w:hint="eastAsia" w:ascii="宋体" w:hAnsi="宋体"/>
          <w:b/>
          <w:sz w:val="28"/>
          <w:u w:val="single"/>
        </w:rPr>
        <w:t xml:space="preserve"> </w:t>
      </w:r>
      <w:r>
        <w:rPr>
          <w:rFonts w:hint="eastAsia" w:ascii="宋体" w:hAnsi="宋体"/>
          <w:b/>
          <w:sz w:val="28"/>
          <w:u w:val="single"/>
          <w:lang w:val="en-US" w:eastAsia="zh-CN"/>
        </w:rPr>
        <w:t xml:space="preserve">                          </w:t>
      </w:r>
      <w:r>
        <w:rPr>
          <w:rFonts w:hint="eastAsia" w:ascii="宋体" w:hAnsi="宋体"/>
          <w:b/>
          <w:sz w:val="28"/>
          <w:u w:val="single"/>
        </w:rPr>
        <w:t xml:space="preserve"> </w:t>
      </w:r>
    </w:p>
    <w:p w14:paraId="7BA70C41">
      <w:pPr>
        <w:adjustRightInd w:val="0"/>
        <w:snapToGrid w:val="0"/>
        <w:spacing w:line="360" w:lineRule="auto"/>
        <w:ind w:firstLine="843" w:firstLineChars="300"/>
        <w:rPr>
          <w:rFonts w:hint="eastAsia" w:ascii="宋体" w:hAnsi="宋体"/>
          <w:b/>
          <w:sz w:val="28"/>
          <w:u w:val="single"/>
        </w:rPr>
      </w:pPr>
      <w:r>
        <w:rPr>
          <w:rFonts w:hint="eastAsia" w:ascii="宋体" w:hAnsi="宋体"/>
          <w:b/>
          <w:sz w:val="28"/>
        </w:rPr>
        <w:t>签约地点：</w:t>
      </w:r>
      <w:r>
        <w:rPr>
          <w:rFonts w:hint="eastAsia" w:ascii="宋体" w:hAnsi="宋体"/>
          <w:b/>
          <w:sz w:val="28"/>
          <w:u w:val="single"/>
        </w:rPr>
        <w:t xml:space="preserve"> 广州市 </w:t>
      </w:r>
      <w:r>
        <w:rPr>
          <w:rFonts w:hint="eastAsia" w:ascii="宋体" w:hAnsi="宋体"/>
          <w:b/>
          <w:sz w:val="28"/>
        </w:rPr>
        <w:t xml:space="preserve"> </w:t>
      </w:r>
    </w:p>
    <w:p w14:paraId="23D18C23">
      <w:pPr>
        <w:adjustRightInd w:val="0"/>
        <w:snapToGrid w:val="0"/>
        <w:spacing w:line="360" w:lineRule="auto"/>
        <w:ind w:firstLine="843" w:firstLineChars="300"/>
        <w:rPr>
          <w:rFonts w:ascii="宋体" w:hAnsi="宋体"/>
          <w:b/>
          <w:sz w:val="28"/>
        </w:rPr>
      </w:pPr>
      <w:r>
        <w:rPr>
          <w:rFonts w:hint="eastAsia" w:ascii="宋体" w:hAnsi="宋体"/>
          <w:b/>
          <w:sz w:val="28"/>
        </w:rPr>
        <w:t>签订日期：       年    月     日</w:t>
      </w:r>
    </w:p>
    <w:p w14:paraId="386F16B4">
      <w:pPr>
        <w:tabs>
          <w:tab w:val="left" w:pos="720"/>
        </w:tabs>
        <w:spacing w:line="360" w:lineRule="auto"/>
        <w:rPr>
          <w:rFonts w:hint="eastAsia" w:ascii="宋体" w:hAnsi="宋体"/>
          <w:b/>
          <w:szCs w:val="21"/>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14:paraId="653E39CF">
      <w:pPr>
        <w:spacing w:line="360" w:lineRule="auto"/>
        <w:rPr>
          <w:rFonts w:hint="eastAsia" w:ascii="宋体" w:hAnsi="宋体"/>
          <w:szCs w:val="21"/>
          <w:vertAlign w:val="baseline"/>
          <w:lang w:val="en-US" w:eastAsia="zh-CN"/>
        </w:rPr>
      </w:pPr>
      <w:r>
        <w:rPr>
          <w:rFonts w:hint="eastAsia" w:ascii="宋体" w:hAnsi="宋体"/>
          <w:szCs w:val="21"/>
          <w:lang w:val="en-US" w:eastAsia="zh-CN"/>
        </w:rPr>
        <w:t xml:space="preserve">                 </w:t>
      </w:r>
    </w:p>
    <w:tbl>
      <w:tblPr>
        <w:tblStyle w:val="1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61"/>
        <w:gridCol w:w="4261"/>
      </w:tblGrid>
      <w:tr w14:paraId="270DDA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gridSpan w:val="2"/>
            <w:tcBorders>
              <w:tl2br w:val="nil"/>
              <w:tr2bl w:val="nil"/>
            </w:tcBorders>
          </w:tcPr>
          <w:p w14:paraId="44B4626B">
            <w:pPr>
              <w:spacing w:line="360" w:lineRule="auto"/>
              <w:rPr>
                <w:rFonts w:hint="eastAsia" w:ascii="宋体" w:hAnsi="宋体"/>
                <w:szCs w:val="21"/>
                <w:vertAlign w:val="baseline"/>
                <w:lang w:val="en-US" w:eastAsia="zh-CN"/>
              </w:rPr>
            </w:pPr>
            <w:r>
              <w:rPr>
                <w:rFonts w:hint="eastAsia" w:ascii="宋体" w:hAnsi="宋体"/>
                <w:szCs w:val="21"/>
                <w:vertAlign w:val="baseline"/>
                <w:lang w:val="en-US" w:eastAsia="zh-CN"/>
              </w:rPr>
              <w:t>甲方：</w:t>
            </w:r>
          </w:p>
        </w:tc>
      </w:tr>
      <w:tr w14:paraId="06F047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tcBorders>
              <w:tl2br w:val="nil"/>
              <w:tr2bl w:val="nil"/>
            </w:tcBorders>
          </w:tcPr>
          <w:p w14:paraId="19D59D62">
            <w:pPr>
              <w:spacing w:line="360" w:lineRule="auto"/>
              <w:rPr>
                <w:rFonts w:hint="eastAsia" w:ascii="宋体" w:hAnsi="宋体"/>
                <w:szCs w:val="21"/>
                <w:vertAlign w:val="baseline"/>
                <w:lang w:val="en-US" w:eastAsia="zh-CN"/>
              </w:rPr>
            </w:pPr>
            <w:r>
              <w:rPr>
                <w:rFonts w:hint="eastAsia" w:ascii="宋体" w:hAnsi="宋体"/>
                <w:szCs w:val="21"/>
                <w:vertAlign w:val="baseline"/>
                <w:lang w:val="en-US" w:eastAsia="zh-CN"/>
              </w:rPr>
              <w:t>电话：</w:t>
            </w:r>
          </w:p>
        </w:tc>
        <w:tc>
          <w:tcPr>
            <w:tcW w:w="4261" w:type="dxa"/>
            <w:tcBorders>
              <w:tl2br w:val="nil"/>
              <w:tr2bl w:val="nil"/>
            </w:tcBorders>
          </w:tcPr>
          <w:p w14:paraId="6EEFEF60">
            <w:pPr>
              <w:spacing w:line="360" w:lineRule="auto"/>
              <w:rPr>
                <w:rFonts w:hint="eastAsia" w:ascii="宋体" w:hAnsi="宋体"/>
                <w:szCs w:val="21"/>
                <w:vertAlign w:val="baseline"/>
                <w:lang w:val="en-US" w:eastAsia="zh-CN"/>
              </w:rPr>
            </w:pPr>
            <w:r>
              <w:rPr>
                <w:rFonts w:hint="eastAsia" w:ascii="宋体" w:hAnsi="宋体"/>
                <w:szCs w:val="21"/>
                <w:vertAlign w:val="baseline"/>
                <w:lang w:val="en-US" w:eastAsia="zh-CN"/>
              </w:rPr>
              <w:t>传真：</w:t>
            </w:r>
          </w:p>
        </w:tc>
      </w:tr>
      <w:tr w14:paraId="455864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gridSpan w:val="2"/>
            <w:tcBorders>
              <w:tl2br w:val="nil"/>
              <w:tr2bl w:val="nil"/>
            </w:tcBorders>
          </w:tcPr>
          <w:p w14:paraId="58F4E88F">
            <w:pPr>
              <w:spacing w:line="360" w:lineRule="auto"/>
              <w:rPr>
                <w:rFonts w:hint="eastAsia" w:ascii="宋体" w:hAnsi="宋体"/>
                <w:szCs w:val="21"/>
                <w:vertAlign w:val="baseline"/>
                <w:lang w:val="en-US" w:eastAsia="zh-CN"/>
              </w:rPr>
            </w:pPr>
            <w:r>
              <w:rPr>
                <w:rFonts w:hint="eastAsia" w:ascii="宋体" w:hAnsi="宋体"/>
                <w:szCs w:val="21"/>
                <w:vertAlign w:val="baseline"/>
                <w:lang w:val="en-US" w:eastAsia="zh-CN"/>
              </w:rPr>
              <w:t>地址：</w:t>
            </w:r>
          </w:p>
        </w:tc>
      </w:tr>
      <w:tr w14:paraId="43E4D1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8522" w:type="dxa"/>
            <w:gridSpan w:val="2"/>
            <w:tcBorders>
              <w:tl2br w:val="nil"/>
              <w:tr2bl w:val="nil"/>
            </w:tcBorders>
          </w:tcPr>
          <w:p w14:paraId="6CF385D4">
            <w:pPr>
              <w:spacing w:line="360" w:lineRule="auto"/>
              <w:rPr>
                <w:rFonts w:hint="eastAsia" w:ascii="宋体" w:hAnsi="宋体"/>
                <w:szCs w:val="21"/>
                <w:vertAlign w:val="baseline"/>
                <w:lang w:val="en-US" w:eastAsia="zh-CN"/>
              </w:rPr>
            </w:pPr>
            <w:r>
              <w:rPr>
                <w:rFonts w:hint="eastAsia" w:ascii="宋体" w:hAnsi="宋体"/>
                <w:szCs w:val="21"/>
                <w:vertAlign w:val="baseline"/>
                <w:lang w:val="en-US" w:eastAsia="zh-CN"/>
              </w:rPr>
              <w:t>乙方：</w:t>
            </w:r>
          </w:p>
        </w:tc>
      </w:tr>
      <w:tr w14:paraId="58FCCD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tcBorders>
              <w:tl2br w:val="nil"/>
              <w:tr2bl w:val="nil"/>
            </w:tcBorders>
          </w:tcPr>
          <w:p w14:paraId="6A3DA7C6">
            <w:pPr>
              <w:spacing w:line="360" w:lineRule="auto"/>
              <w:rPr>
                <w:rFonts w:hint="eastAsia" w:ascii="宋体" w:hAnsi="宋体"/>
                <w:szCs w:val="21"/>
                <w:vertAlign w:val="baseline"/>
                <w:lang w:val="en-US" w:eastAsia="zh-CN"/>
              </w:rPr>
            </w:pPr>
            <w:r>
              <w:rPr>
                <w:rFonts w:hint="eastAsia" w:ascii="宋体" w:hAnsi="宋体"/>
                <w:szCs w:val="21"/>
                <w:vertAlign w:val="baseline"/>
                <w:lang w:val="en-US" w:eastAsia="zh-CN"/>
              </w:rPr>
              <w:t>电话：</w:t>
            </w:r>
          </w:p>
        </w:tc>
        <w:tc>
          <w:tcPr>
            <w:tcW w:w="4261" w:type="dxa"/>
            <w:tcBorders>
              <w:tl2br w:val="nil"/>
              <w:tr2bl w:val="nil"/>
            </w:tcBorders>
          </w:tcPr>
          <w:p w14:paraId="65AA4E27">
            <w:pPr>
              <w:spacing w:line="360" w:lineRule="auto"/>
              <w:rPr>
                <w:rFonts w:hint="eastAsia" w:ascii="宋体" w:hAnsi="宋体"/>
                <w:szCs w:val="21"/>
                <w:vertAlign w:val="baseline"/>
                <w:lang w:val="en-US" w:eastAsia="zh-CN"/>
              </w:rPr>
            </w:pPr>
            <w:r>
              <w:rPr>
                <w:rFonts w:hint="eastAsia" w:ascii="宋体" w:hAnsi="宋体"/>
                <w:szCs w:val="21"/>
                <w:vertAlign w:val="baseline"/>
                <w:lang w:val="en-US" w:eastAsia="zh-CN"/>
              </w:rPr>
              <w:t>传真：</w:t>
            </w:r>
          </w:p>
        </w:tc>
      </w:tr>
      <w:tr w14:paraId="34942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gridSpan w:val="2"/>
            <w:tcBorders>
              <w:tl2br w:val="nil"/>
              <w:tr2bl w:val="nil"/>
            </w:tcBorders>
          </w:tcPr>
          <w:p w14:paraId="17D3E848">
            <w:pPr>
              <w:spacing w:line="360" w:lineRule="auto"/>
              <w:rPr>
                <w:rFonts w:hint="eastAsia" w:ascii="宋体" w:hAnsi="宋体"/>
                <w:szCs w:val="21"/>
                <w:vertAlign w:val="baseline"/>
                <w:lang w:val="en-US" w:eastAsia="zh-CN"/>
              </w:rPr>
            </w:pPr>
            <w:r>
              <w:rPr>
                <w:rFonts w:hint="eastAsia" w:ascii="宋体" w:hAnsi="宋体"/>
                <w:szCs w:val="21"/>
                <w:vertAlign w:val="baseline"/>
                <w:lang w:val="en-US" w:eastAsia="zh-CN"/>
              </w:rPr>
              <w:t>地址：</w:t>
            </w:r>
          </w:p>
        </w:tc>
      </w:tr>
    </w:tbl>
    <w:p w14:paraId="5E1D6720">
      <w:pPr>
        <w:spacing w:line="360" w:lineRule="auto"/>
        <w:rPr>
          <w:rFonts w:ascii="宋体" w:hAnsi="宋体"/>
          <w:szCs w:val="21"/>
        </w:rPr>
      </w:pPr>
      <w:r>
        <w:rPr>
          <w:rFonts w:hint="eastAsia" w:ascii="宋体" w:hAnsi="宋体"/>
          <w:szCs w:val="21"/>
          <w:lang w:val="en-US" w:eastAsia="zh-CN"/>
        </w:rPr>
        <w:t xml:space="preserve">            </w:t>
      </w:r>
    </w:p>
    <w:p w14:paraId="347E7F07">
      <w:pPr>
        <w:spacing w:line="360" w:lineRule="auto"/>
        <w:ind w:firstLine="420" w:firstLineChars="200"/>
        <w:rPr>
          <w:rFonts w:hint="eastAsia" w:ascii="宋体" w:hAnsi="宋体"/>
          <w:b/>
          <w:szCs w:val="21"/>
        </w:rPr>
      </w:pPr>
      <w:r>
        <w:rPr>
          <w:rFonts w:hint="eastAsia" w:ascii="宋体" w:hAnsi="宋体"/>
          <w:szCs w:val="21"/>
        </w:rPr>
        <w:t xml:space="preserve">根据 </w:t>
      </w:r>
      <w:r>
        <w:rPr>
          <w:rFonts w:hint="eastAsia" w:ascii="宋体" w:hAnsi="宋体"/>
          <w:szCs w:val="21"/>
          <w:u w:val="single"/>
        </w:rPr>
        <w:t xml:space="preserve"> </w:t>
      </w:r>
      <w:r>
        <w:rPr>
          <w:rFonts w:hint="eastAsia" w:ascii="宋体" w:hAnsi="宋体"/>
          <w:szCs w:val="21"/>
          <w:u w:val="single"/>
          <w:lang w:eastAsia="zh-CN"/>
        </w:rPr>
        <w:t>广州市生态环境局</w:t>
      </w:r>
      <w:r>
        <w:rPr>
          <w:rFonts w:hint="eastAsia" w:ascii="宋体" w:hAnsi="宋体"/>
          <w:szCs w:val="21"/>
          <w:u w:val="single"/>
        </w:rPr>
        <w:t>荔湾环境监测站202</w:t>
      </w:r>
      <w:r>
        <w:rPr>
          <w:rFonts w:hint="eastAsia" w:ascii="宋体" w:hAnsi="宋体"/>
          <w:szCs w:val="21"/>
          <w:u w:val="single"/>
          <w:lang w:val="en-US" w:eastAsia="zh-CN"/>
        </w:rPr>
        <w:t>6</w:t>
      </w:r>
      <w:r>
        <w:rPr>
          <w:rFonts w:hint="eastAsia" w:ascii="宋体" w:hAnsi="宋体"/>
          <w:szCs w:val="21"/>
          <w:u w:val="single"/>
        </w:rPr>
        <w:t>年监测</w:t>
      </w:r>
      <w:r>
        <w:rPr>
          <w:rFonts w:hint="eastAsia" w:ascii="宋体" w:hAnsi="宋体"/>
          <w:szCs w:val="21"/>
          <w:u w:val="single"/>
          <w:lang w:eastAsia="zh-CN"/>
        </w:rPr>
        <w:t>任务</w:t>
      </w:r>
      <w:r>
        <w:rPr>
          <w:rFonts w:hint="eastAsia" w:ascii="宋体" w:hAnsi="宋体"/>
          <w:szCs w:val="21"/>
          <w:u w:val="single"/>
        </w:rPr>
        <w:t>外委</w:t>
      </w:r>
      <w:r>
        <w:rPr>
          <w:rFonts w:hint="eastAsia" w:ascii="宋体" w:hAnsi="宋体"/>
          <w:szCs w:val="21"/>
        </w:rPr>
        <w:t>项目的采购结果，按照《中华人民共和国民法典》第三编合同的规定，</w:t>
      </w:r>
      <w:r>
        <w:rPr>
          <w:rFonts w:hint="eastAsia" w:ascii="宋体" w:hAnsi="宋体"/>
          <w:kern w:val="28"/>
          <w:szCs w:val="21"/>
        </w:rPr>
        <w:t>经双方协商，</w:t>
      </w:r>
      <w:r>
        <w:rPr>
          <w:rFonts w:hint="eastAsia" w:ascii="宋体" w:hAnsi="宋体"/>
          <w:szCs w:val="21"/>
        </w:rPr>
        <w:t>本着平等互利和诚实信用的原则，</w:t>
      </w:r>
      <w:r>
        <w:rPr>
          <w:rFonts w:hint="eastAsia" w:ascii="宋体" w:hAnsi="宋体"/>
          <w:kern w:val="28"/>
          <w:szCs w:val="21"/>
        </w:rPr>
        <w:t>一致同意签订本合同如下</w:t>
      </w:r>
      <w:r>
        <w:rPr>
          <w:rFonts w:hint="eastAsia" w:ascii="宋体" w:hAnsi="宋体"/>
          <w:szCs w:val="21"/>
        </w:rPr>
        <w:t>。</w:t>
      </w:r>
    </w:p>
    <w:p w14:paraId="77F5CA25">
      <w:pPr>
        <w:spacing w:line="360" w:lineRule="auto"/>
        <w:ind w:firstLine="422" w:firstLineChars="200"/>
        <w:rPr>
          <w:rFonts w:hint="eastAsia"/>
          <w:b/>
        </w:rPr>
      </w:pPr>
      <w:bookmarkStart w:id="3" w:name="_Toc26534467"/>
      <w:bookmarkStart w:id="4" w:name="_Toc25766355"/>
      <w:r>
        <w:rPr>
          <w:rFonts w:hint="eastAsia"/>
          <w:b/>
        </w:rPr>
        <w:t>一、合同金额及项目内容</w:t>
      </w:r>
      <w:bookmarkEnd w:id="3"/>
      <w:bookmarkEnd w:id="4"/>
    </w:p>
    <w:p w14:paraId="5304DD4D">
      <w:pPr>
        <w:spacing w:line="360" w:lineRule="auto"/>
        <w:ind w:firstLine="420"/>
        <w:jc w:val="left"/>
        <w:rPr>
          <w:rFonts w:hint="eastAsia"/>
        </w:rPr>
      </w:pPr>
      <w:r>
        <w:rPr>
          <w:rFonts w:hint="eastAsia"/>
        </w:rPr>
        <w:t>1、</w:t>
      </w:r>
      <w:r>
        <w:rPr>
          <w:rFonts w:hint="eastAsia"/>
          <w:lang w:val="en-US" w:eastAsia="zh-CN"/>
        </w:rPr>
        <w:t>自合同签订之日起至</w:t>
      </w:r>
      <w:r>
        <w:rPr>
          <w:rFonts w:hint="eastAsia"/>
        </w:rPr>
        <w:t>202</w:t>
      </w:r>
      <w:r>
        <w:rPr>
          <w:rFonts w:hint="eastAsia"/>
          <w:lang w:val="en-US" w:eastAsia="zh-CN"/>
        </w:rPr>
        <w:t>6</w:t>
      </w:r>
      <w:r>
        <w:rPr>
          <w:rFonts w:hint="eastAsia"/>
        </w:rPr>
        <w:t>年</w:t>
      </w:r>
      <w:r>
        <w:rPr>
          <w:rFonts w:hint="eastAsia"/>
          <w:lang w:val="en-US" w:eastAsia="zh-CN"/>
        </w:rPr>
        <w:t>11</w:t>
      </w:r>
      <w:r>
        <w:rPr>
          <w:rFonts w:hint="eastAsia"/>
        </w:rPr>
        <w:t>月30日前，完成</w:t>
      </w:r>
      <w:r>
        <w:rPr>
          <w:rFonts w:hint="eastAsia"/>
          <w:lang w:eastAsia="zh-CN"/>
        </w:rPr>
        <w:t>甲方</w:t>
      </w:r>
      <w:r>
        <w:rPr>
          <w:rFonts w:hint="eastAsia"/>
        </w:rPr>
        <w:t>委托的监测任务。</w:t>
      </w:r>
    </w:p>
    <w:p w14:paraId="2C9BC1FC">
      <w:pPr>
        <w:spacing w:line="360" w:lineRule="auto"/>
        <w:ind w:firstLine="420"/>
        <w:jc w:val="left"/>
        <w:rPr>
          <w:rFonts w:hint="eastAsia"/>
        </w:rPr>
      </w:pPr>
      <w:r>
        <w:rPr>
          <w:rFonts w:hint="eastAsia"/>
        </w:rPr>
        <w:t>2、本次监测项目外委预算总额不超过人民币（大写）：壹拾</w:t>
      </w:r>
      <w:r>
        <w:rPr>
          <w:rFonts w:hint="eastAsia"/>
          <w:lang w:eastAsia="zh-CN"/>
        </w:rPr>
        <w:t>贰</w:t>
      </w:r>
      <w:r>
        <w:rPr>
          <w:rFonts w:hint="eastAsia"/>
        </w:rPr>
        <w:t>万圆整（小写：¥1</w:t>
      </w:r>
      <w:r>
        <w:rPr>
          <w:rFonts w:hint="eastAsia"/>
          <w:lang w:val="en-US" w:eastAsia="zh-CN"/>
        </w:rPr>
        <w:t>2</w:t>
      </w:r>
      <w:r>
        <w:rPr>
          <w:rFonts w:hint="eastAsia"/>
        </w:rPr>
        <w:t>0000.00）。</w:t>
      </w:r>
    </w:p>
    <w:p w14:paraId="7BE4B787">
      <w:pPr>
        <w:spacing w:line="360" w:lineRule="auto"/>
        <w:ind w:firstLine="422" w:firstLineChars="200"/>
      </w:pPr>
      <w:r>
        <w:rPr>
          <w:b/>
        </w:rPr>
        <w:t>二、项目基本要求</w:t>
      </w:r>
    </w:p>
    <w:p w14:paraId="049334AD">
      <w:pPr>
        <w:spacing w:line="360" w:lineRule="auto"/>
        <w:ind w:firstLine="420"/>
      </w:pPr>
      <w:r>
        <w:t>服务内容包括</w:t>
      </w:r>
      <w:r>
        <w:rPr>
          <w:rFonts w:hint="eastAsia"/>
        </w:rPr>
        <w:t>甲方</w:t>
      </w:r>
      <w:r>
        <w:t>指定</w:t>
      </w:r>
      <w:r>
        <w:rPr>
          <w:rFonts w:hint="eastAsia"/>
        </w:rPr>
        <w:t>外委的</w:t>
      </w:r>
      <w:r>
        <w:t>检测任务</w:t>
      </w:r>
      <w:r>
        <w:rPr>
          <w:rFonts w:hint="eastAsia"/>
          <w:lang w:eastAsia="zh-CN"/>
        </w:rPr>
        <w:t>，</w:t>
      </w:r>
      <w:r>
        <w:rPr>
          <w:rFonts w:hint="eastAsia"/>
          <w:lang w:val="en-US" w:eastAsia="zh-CN"/>
        </w:rPr>
        <w:t>包括但不限于污水厂周边土壤监测、污水厂出水监测、环境质量监测、污染源监测、应急监测等检测任务。</w:t>
      </w:r>
    </w:p>
    <w:p w14:paraId="733FB819">
      <w:pPr>
        <w:spacing w:line="360" w:lineRule="auto"/>
        <w:ind w:firstLine="422" w:firstLineChars="200"/>
      </w:pPr>
      <w:r>
        <w:rPr>
          <w:b/>
        </w:rPr>
        <w:t>三、工作要求</w:t>
      </w:r>
    </w:p>
    <w:p w14:paraId="2D262AFB">
      <w:pPr>
        <w:spacing w:line="360" w:lineRule="auto"/>
        <w:ind w:firstLine="420"/>
        <w:jc w:val="left"/>
      </w:pPr>
      <w:r>
        <w:t>1、</w:t>
      </w:r>
      <w:r>
        <w:rPr>
          <w:rFonts w:hint="eastAsia"/>
        </w:rPr>
        <w:t>乙方须</w:t>
      </w:r>
      <w:r>
        <w:t>完全</w:t>
      </w:r>
      <w:r>
        <w:rPr>
          <w:rFonts w:hint="eastAsia"/>
        </w:rPr>
        <w:t>按照</w:t>
      </w:r>
      <w:r>
        <w:t>《检验检测机构资质认定能力评价检验检测机构通用要求》、《检验检测机构资质认定生态环境监测机构评审补充要求》等文件要求执行。在环境监测的水、气、噪声、土壤、辐射、固废等项目的采样和分析过程中，</w:t>
      </w:r>
      <w:r>
        <w:rPr>
          <w:rFonts w:hint="eastAsia"/>
        </w:rPr>
        <w:t>乙方</w:t>
      </w:r>
      <w:r>
        <w:t>的检测方法应符合现行有效的国家标准、行业标准、地方标准和国家有关的规定要求。检测方法应采用有效期内资质认定附表内项目对应的方法，不得超范围检测。</w:t>
      </w:r>
    </w:p>
    <w:p w14:paraId="6ECC92AB">
      <w:pPr>
        <w:spacing w:line="360" w:lineRule="auto"/>
        <w:ind w:firstLine="420"/>
        <w:jc w:val="left"/>
      </w:pPr>
      <w:r>
        <w:t>2、</w:t>
      </w:r>
      <w:r>
        <w:rPr>
          <w:rFonts w:hint="eastAsia"/>
        </w:rPr>
        <w:t>乙方</w:t>
      </w:r>
      <w:r>
        <w:t>接收监测委托书后，应在</w:t>
      </w:r>
      <w:r>
        <w:rPr>
          <w:rFonts w:hint="eastAsia"/>
        </w:rPr>
        <w:t>5</w:t>
      </w:r>
      <w:r>
        <w:t>个工作日</w:t>
      </w:r>
      <w:r>
        <w:rPr>
          <w:rFonts w:hint="eastAsia"/>
        </w:rPr>
        <w:t>内</w:t>
      </w:r>
      <w:r>
        <w:t>或与</w:t>
      </w:r>
      <w:r>
        <w:rPr>
          <w:rFonts w:hint="eastAsia"/>
          <w:lang w:eastAsia="zh-CN"/>
        </w:rPr>
        <w:t>甲方</w:t>
      </w:r>
      <w:r>
        <w:t>协商的时间内</w:t>
      </w:r>
      <w:r>
        <w:rPr>
          <w:rFonts w:hint="eastAsia"/>
        </w:rPr>
        <w:t>开展现场监测，完成现场采样监测15天内</w:t>
      </w:r>
      <w:r>
        <w:t>向</w:t>
      </w:r>
      <w:r>
        <w:rPr>
          <w:rFonts w:hint="eastAsia"/>
          <w:lang w:eastAsia="zh-CN"/>
        </w:rPr>
        <w:t>甲方</w:t>
      </w:r>
      <w:r>
        <w:t>提交电子版监测报告供审核，报告</w:t>
      </w:r>
      <w:r>
        <w:rPr>
          <w:rFonts w:hint="eastAsia"/>
        </w:rPr>
        <w:t>内容</w:t>
      </w:r>
      <w:r>
        <w:t>符合</w:t>
      </w:r>
      <w:r>
        <w:rPr>
          <w:rFonts w:hint="eastAsia"/>
        </w:rPr>
        <w:t>相关标准规范以</w:t>
      </w:r>
      <w:r>
        <w:t>及《检验检测机构资质认定能力评价检验检测机构通用要求》，并按照</w:t>
      </w:r>
      <w:r>
        <w:rPr>
          <w:rFonts w:hint="eastAsia"/>
          <w:lang w:eastAsia="zh-CN"/>
        </w:rPr>
        <w:t>甲方</w:t>
      </w:r>
      <w:r>
        <w:t>的要求定时提供统计报表。</w:t>
      </w:r>
    </w:p>
    <w:p w14:paraId="1651FA99">
      <w:pPr>
        <w:spacing w:line="360" w:lineRule="auto"/>
        <w:ind w:firstLine="420"/>
        <w:jc w:val="left"/>
      </w:pPr>
      <w:r>
        <w:rPr>
          <w:rFonts w:hint="eastAsia"/>
        </w:rPr>
        <w:t>3</w:t>
      </w:r>
      <w:r>
        <w:t>、监测报告一式三份。提供监测报告同时</w:t>
      </w:r>
      <w:r>
        <w:rPr>
          <w:rFonts w:hint="eastAsia"/>
        </w:rPr>
        <w:t>，</w:t>
      </w:r>
      <w:r>
        <w:t>需提供原始记录（包括企业代表签名的现场采样记录、现场照片、样品前处理记录、分析原始记录、仪器打印记录）和质控记录的扫描件作为报告审核的依据。</w:t>
      </w:r>
      <w:r>
        <w:rPr>
          <w:rFonts w:hint="eastAsia"/>
        </w:rPr>
        <w:t>乙方</w:t>
      </w:r>
      <w:r>
        <w:t>对检验结果负责，对于数据异常的项目要及时复核复检，并保留复核复检记录。</w:t>
      </w:r>
    </w:p>
    <w:p w14:paraId="37CD7E0E">
      <w:pPr>
        <w:spacing w:line="360" w:lineRule="auto"/>
        <w:ind w:firstLine="420"/>
        <w:jc w:val="left"/>
      </w:pPr>
      <w:r>
        <w:rPr>
          <w:rFonts w:hint="eastAsia"/>
        </w:rPr>
        <w:t>4</w:t>
      </w:r>
      <w:r>
        <w:t>、</w:t>
      </w:r>
      <w:r>
        <w:rPr>
          <w:rFonts w:hint="eastAsia"/>
        </w:rPr>
        <w:t>乙方</w:t>
      </w:r>
      <w:r>
        <w:t>在每次监测报告审核后提供纸质版和扫描件；扫描件要求一家企业一个文档，名称为该企业的全称。</w:t>
      </w:r>
    </w:p>
    <w:p w14:paraId="73BA1600">
      <w:pPr>
        <w:spacing w:line="360" w:lineRule="auto"/>
        <w:ind w:firstLine="420"/>
        <w:jc w:val="left"/>
      </w:pPr>
      <w:r>
        <w:rPr>
          <w:rFonts w:hint="eastAsia"/>
        </w:rPr>
        <w:t>5</w:t>
      </w:r>
      <w:r>
        <w:t>、</w:t>
      </w:r>
      <w:r>
        <w:rPr>
          <w:rFonts w:hint="eastAsia"/>
        </w:rPr>
        <w:t>乙方</w:t>
      </w:r>
      <w:r>
        <w:t>按时、按要求将监测资料录入《广东省社会环境监测机构信息管理平台》。</w:t>
      </w:r>
    </w:p>
    <w:p w14:paraId="7E784720">
      <w:pPr>
        <w:spacing w:line="360" w:lineRule="auto"/>
        <w:ind w:firstLine="420"/>
        <w:jc w:val="left"/>
      </w:pPr>
      <w:r>
        <w:rPr>
          <w:rFonts w:hint="eastAsia"/>
        </w:rPr>
        <w:t>6</w:t>
      </w:r>
      <w:r>
        <w:t>、</w:t>
      </w:r>
      <w:r>
        <w:rPr>
          <w:rFonts w:hint="eastAsia"/>
        </w:rPr>
        <w:t>乙方</w:t>
      </w:r>
      <w:r>
        <w:t>无合理原因，不得拒绝</w:t>
      </w:r>
      <w:r>
        <w:rPr>
          <w:rFonts w:hint="eastAsia"/>
          <w:lang w:eastAsia="zh-CN"/>
        </w:rPr>
        <w:t>甲方</w:t>
      </w:r>
      <w:r>
        <w:t>委托的监测任务</w:t>
      </w:r>
      <w:r>
        <w:rPr>
          <w:rFonts w:hint="eastAsia"/>
        </w:rPr>
        <w:t>，否则甲方有权终止合同</w:t>
      </w:r>
      <w:r>
        <w:t>。</w:t>
      </w:r>
    </w:p>
    <w:p w14:paraId="49EE4C41">
      <w:pPr>
        <w:spacing w:line="360" w:lineRule="auto"/>
        <w:ind w:firstLine="420"/>
        <w:jc w:val="left"/>
        <w:rPr>
          <w:rFonts w:hint="eastAsia" w:eastAsia="宋体"/>
          <w:lang w:eastAsia="zh-CN"/>
        </w:rPr>
      </w:pPr>
      <w:r>
        <w:rPr>
          <w:rFonts w:hint="eastAsia"/>
        </w:rPr>
        <w:t>7</w:t>
      </w:r>
      <w:r>
        <w:t>、</w:t>
      </w:r>
      <w:r>
        <w:rPr>
          <w:rFonts w:hint="eastAsia"/>
        </w:rPr>
        <w:t>乙方在监测过程中必须按照广东省生态环境厅的相关要求使用“广东省生态环境监测业务监管系统（https://www-app.gdeei.cn/jcywjg/）”开展监测</w:t>
      </w:r>
      <w:r>
        <w:rPr>
          <w:rFonts w:hint="eastAsia"/>
          <w:lang w:eastAsia="zh-CN"/>
        </w:rPr>
        <w:t>。</w:t>
      </w:r>
    </w:p>
    <w:p w14:paraId="0F1E8DEB">
      <w:pPr>
        <w:spacing w:line="360" w:lineRule="auto"/>
        <w:ind w:firstLine="422" w:firstLineChars="200"/>
      </w:pPr>
      <w:r>
        <w:rPr>
          <w:b/>
        </w:rPr>
        <w:t>四、保密要求</w:t>
      </w:r>
    </w:p>
    <w:p w14:paraId="3DA283C1">
      <w:pPr>
        <w:spacing w:line="360" w:lineRule="auto"/>
        <w:ind w:firstLine="420"/>
      </w:pPr>
      <w:r>
        <w:rPr>
          <w:rFonts w:hint="eastAsia"/>
        </w:rPr>
        <w:t>乙方</w:t>
      </w:r>
      <w:r>
        <w:t>应对所有监测数据及其他相关信息资料保密并负有保密责任。不论何时，</w:t>
      </w:r>
      <w:r>
        <w:rPr>
          <w:rFonts w:hint="eastAsia"/>
        </w:rPr>
        <w:t>乙方</w:t>
      </w:r>
      <w:r>
        <w:t>都应承担并承诺监测数据的保密责任。</w:t>
      </w:r>
      <w:r>
        <w:rPr>
          <w:rFonts w:hint="eastAsia"/>
        </w:rPr>
        <w:t>乙方</w:t>
      </w:r>
      <w:r>
        <w:t>除按照</w:t>
      </w:r>
      <w:r>
        <w:rPr>
          <w:rFonts w:hint="eastAsia"/>
          <w:lang w:eastAsia="zh-CN"/>
        </w:rPr>
        <w:t>甲方</w:t>
      </w:r>
      <w:r>
        <w:t>的要求进行报告和传输有关的监测数据外，不得向外界传递其它任何监测数据。未经</w:t>
      </w:r>
      <w:r>
        <w:rPr>
          <w:rFonts w:hint="eastAsia"/>
          <w:lang w:eastAsia="zh-CN"/>
        </w:rPr>
        <w:t>甲方</w:t>
      </w:r>
      <w:r>
        <w:t>同意，</w:t>
      </w:r>
      <w:r>
        <w:rPr>
          <w:rFonts w:hint="eastAsia"/>
        </w:rPr>
        <w:t>乙方</w:t>
      </w:r>
      <w:r>
        <w:t>不得利用本项目的所有资料对外开展技术交流、业务联系、数据交换等。</w:t>
      </w:r>
    </w:p>
    <w:p w14:paraId="1C3DB948">
      <w:pPr>
        <w:spacing w:line="360" w:lineRule="auto"/>
        <w:ind w:firstLine="422" w:firstLineChars="200"/>
      </w:pPr>
      <w:r>
        <w:rPr>
          <w:b/>
        </w:rPr>
        <w:t>五、费用结算及付款方式</w:t>
      </w:r>
    </w:p>
    <w:p w14:paraId="60FDF421">
      <w:pPr>
        <w:spacing w:line="360" w:lineRule="auto"/>
        <w:ind w:firstLine="420" w:firstLineChars="200"/>
        <w:rPr>
          <w:rFonts w:hint="eastAsia"/>
          <w:lang w:val="en-US" w:eastAsia="zh-CN"/>
        </w:rPr>
      </w:pPr>
      <w:r>
        <w:t>1、</w:t>
      </w:r>
      <w:r>
        <w:rPr>
          <w:rFonts w:hint="eastAsia"/>
          <w:lang w:val="en-US" w:eastAsia="zh-CN"/>
        </w:rPr>
        <w:t>以广东省环境监测协会《关于发布〈广东省环境监测行业指导价〉的通知》（粤环监协〔2018〕11号）收费标准（以下简称参考价）作为基准价，</w:t>
      </w:r>
      <w:r>
        <w:rPr>
          <w:rFonts w:hint="eastAsia"/>
          <w:lang w:val="en-US" w:eastAsia="zh-Hans"/>
        </w:rPr>
        <w:t>以实际样品个数及项目结算</w:t>
      </w:r>
      <w:r>
        <w:rPr>
          <w:rFonts w:hint="eastAsia"/>
          <w:lang w:val="en-US" w:eastAsia="zh-CN"/>
        </w:rPr>
        <w:t>。本项目的成交折扣率为：   %，</w:t>
      </w:r>
    </w:p>
    <w:p w14:paraId="4DBA2792">
      <w:pPr>
        <w:spacing w:line="360" w:lineRule="auto"/>
        <w:ind w:firstLine="420" w:firstLineChars="200"/>
        <w:rPr>
          <w:rFonts w:hint="eastAsia"/>
          <w:lang w:val="en-US" w:eastAsia="zh-CN"/>
        </w:rPr>
      </w:pPr>
      <w:r>
        <w:rPr>
          <w:rFonts w:hint="eastAsia"/>
          <w:lang w:val="en-US" w:eastAsia="zh-CN"/>
        </w:rPr>
        <w:t>结算价计算公式为：</w:t>
      </w:r>
      <w:r>
        <w:rPr>
          <w:rFonts w:hint="eastAsia"/>
          <w:lang w:val="en-US" w:eastAsia="zh-Hans"/>
        </w:rPr>
        <w:t>结算价=∑项目×数</w:t>
      </w:r>
      <w:r>
        <w:rPr>
          <w:rFonts w:hint="eastAsia"/>
          <w:lang w:val="en-US" w:eastAsia="zh-CN"/>
        </w:rPr>
        <w:t>量</w:t>
      </w:r>
      <w:r>
        <w:rPr>
          <w:rFonts w:hint="eastAsia"/>
          <w:lang w:val="en-US" w:eastAsia="zh-Hans"/>
        </w:rPr>
        <w:t>×</w:t>
      </w:r>
      <w:r>
        <w:rPr>
          <w:rFonts w:hint="eastAsia"/>
          <w:lang w:val="en-US" w:eastAsia="zh-CN"/>
        </w:rPr>
        <w:t>基准价</w:t>
      </w:r>
      <w:r>
        <w:rPr>
          <w:rFonts w:hint="eastAsia"/>
          <w:lang w:val="en-US" w:eastAsia="zh-Hans"/>
        </w:rPr>
        <w:t>×成交折扣率</w:t>
      </w:r>
      <w:r>
        <w:rPr>
          <w:rFonts w:hint="eastAsia"/>
          <w:lang w:val="en-US" w:eastAsia="zh-CN"/>
        </w:rPr>
        <w:t>。</w:t>
      </w:r>
    </w:p>
    <w:p w14:paraId="6E3243A8">
      <w:pPr>
        <w:pStyle w:val="4"/>
        <w:numPr>
          <w:ilvl w:val="0"/>
          <w:numId w:val="0"/>
        </w:numPr>
        <w:ind w:firstLine="422" w:firstLineChars="200"/>
        <w:rPr>
          <w:rFonts w:hint="default"/>
          <w:lang w:val="en-US" w:eastAsia="zh-CN"/>
        </w:rPr>
      </w:pPr>
      <w:r>
        <w:rPr>
          <w:rFonts w:hint="eastAsia" w:ascii="Times New Roman" w:hAnsi="Times New Roman" w:eastAsia="宋体" w:cs="Times New Roman"/>
          <w:kern w:val="2"/>
          <w:sz w:val="21"/>
          <w:szCs w:val="24"/>
          <w:lang w:val="en-US" w:eastAsia="zh-CN" w:bidi="ar-SA"/>
        </w:rPr>
        <w:t>2、超出广东省环境监测协会《关于发布〈广东省环境监测行业指导价〉的通知》（粤环监协〔2018〕11号）范围的项目收费由双方协商决定。</w:t>
      </w:r>
    </w:p>
    <w:p w14:paraId="0E601ACF">
      <w:pPr>
        <w:spacing w:line="360" w:lineRule="auto"/>
        <w:ind w:firstLine="420"/>
        <w:rPr>
          <w:rFonts w:hint="eastAsia" w:ascii="Times New Roman" w:hAnsi="Times New Roman" w:eastAsia="宋体" w:cs="Times New Roman"/>
        </w:rPr>
      </w:pPr>
      <w:r>
        <w:rPr>
          <w:rFonts w:hint="eastAsia" w:ascii="Times New Roman" w:hAnsi="Times New Roman" w:eastAsia="宋体" w:cs="Times New Roman"/>
          <w:lang w:val="en-US" w:eastAsia="zh-CN"/>
        </w:rPr>
        <w:t>3</w:t>
      </w:r>
      <w:r>
        <w:rPr>
          <w:rFonts w:ascii="Times New Roman" w:hAnsi="Times New Roman" w:eastAsia="宋体" w:cs="Times New Roman"/>
        </w:rPr>
        <w:t>、</w:t>
      </w:r>
      <w:r>
        <w:rPr>
          <w:rFonts w:hint="eastAsia" w:ascii="Times New Roman" w:hAnsi="Times New Roman" w:eastAsia="宋体" w:cs="Times New Roman"/>
        </w:rPr>
        <w:t>本项目分二期支付：</w:t>
      </w:r>
    </w:p>
    <w:p w14:paraId="0219CF21">
      <w:pPr>
        <w:spacing w:line="360" w:lineRule="auto"/>
        <w:ind w:firstLine="42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一期：</w:t>
      </w:r>
      <w:r>
        <w:rPr>
          <w:rFonts w:hint="eastAsia" w:ascii="Times New Roman" w:hAnsi="Times New Roman" w:eastAsia="宋体" w:cs="Times New Roman"/>
          <w:lang w:val="en-US" w:eastAsia="zh-Hans"/>
        </w:rPr>
        <w:t>合同签订并收到</w:t>
      </w:r>
      <w:r>
        <w:rPr>
          <w:rFonts w:hint="eastAsia" w:ascii="Times New Roman" w:hAnsi="Times New Roman" w:eastAsia="宋体" w:cs="Times New Roman"/>
          <w:lang w:val="en-US" w:eastAsia="zh-CN"/>
        </w:rPr>
        <w:t>乙方</w:t>
      </w:r>
      <w:r>
        <w:rPr>
          <w:rFonts w:hint="eastAsia" w:ascii="Times New Roman" w:hAnsi="Times New Roman" w:eastAsia="宋体" w:cs="Times New Roman"/>
          <w:lang w:val="en-US" w:eastAsia="zh-Hans"/>
        </w:rPr>
        <w:t>出具的发票后，</w:t>
      </w:r>
      <w:r>
        <w:rPr>
          <w:rFonts w:hint="eastAsia" w:ascii="Times New Roman" w:hAnsi="Times New Roman" w:eastAsia="宋体" w:cs="Times New Roman"/>
          <w:lang w:val="en-US" w:eastAsia="zh-CN"/>
        </w:rPr>
        <w:t>甲方</w:t>
      </w:r>
      <w:r>
        <w:rPr>
          <w:rFonts w:hint="eastAsia" w:ascii="Times New Roman" w:hAnsi="Times New Roman" w:eastAsia="宋体" w:cs="Times New Roman"/>
          <w:lang w:val="en-US" w:eastAsia="zh-Hans"/>
        </w:rPr>
        <w:t>于</w:t>
      </w:r>
      <w:r>
        <w:rPr>
          <w:rFonts w:hint="eastAsia" w:ascii="Times New Roman" w:hAnsi="Times New Roman" w:eastAsia="宋体" w:cs="Times New Roman"/>
          <w:lang w:val="en-US" w:eastAsia="zh-CN"/>
        </w:rPr>
        <w:t>10</w:t>
      </w:r>
      <w:r>
        <w:rPr>
          <w:rFonts w:hint="eastAsia" w:ascii="Times New Roman" w:hAnsi="Times New Roman" w:eastAsia="宋体" w:cs="Times New Roman"/>
          <w:lang w:val="en-US" w:eastAsia="zh-Hans"/>
        </w:rPr>
        <w:t>个工作日内支付</w:t>
      </w:r>
      <w:r>
        <w:rPr>
          <w:rFonts w:hint="eastAsia" w:ascii="Times New Roman" w:hAnsi="Times New Roman" w:eastAsia="宋体" w:cs="Times New Roman"/>
          <w:lang w:val="en-US" w:eastAsia="zh-CN"/>
        </w:rPr>
        <w:t>项目预算</w:t>
      </w:r>
      <w:r>
        <w:rPr>
          <w:rFonts w:hint="eastAsia" w:ascii="Times New Roman" w:hAnsi="Times New Roman" w:eastAsia="宋体" w:cs="Times New Roman"/>
          <w:lang w:val="en-US" w:eastAsia="zh-Hans"/>
        </w:rPr>
        <w:t>总金额</w:t>
      </w:r>
      <w:r>
        <w:rPr>
          <w:rFonts w:hint="eastAsia" w:ascii="Times New Roman" w:hAnsi="Times New Roman" w:eastAsia="宋体" w:cs="Times New Roman"/>
          <w:lang w:val="en-US" w:eastAsia="zh-CN"/>
        </w:rPr>
        <w:t>4</w:t>
      </w:r>
      <w:r>
        <w:rPr>
          <w:rFonts w:hint="eastAsia" w:ascii="Times New Roman" w:hAnsi="Times New Roman" w:eastAsia="宋体" w:cs="Times New Roman"/>
          <w:lang w:val="en-US" w:eastAsia="zh-Hans"/>
        </w:rPr>
        <w:t>0%的</w:t>
      </w:r>
      <w:r>
        <w:rPr>
          <w:rFonts w:hint="eastAsia" w:ascii="Times New Roman" w:hAnsi="Times New Roman" w:eastAsia="宋体" w:cs="Times New Roman"/>
          <w:lang w:val="en-US" w:eastAsia="zh-CN"/>
        </w:rPr>
        <w:t>预付款（即¥48000.00）；</w:t>
      </w:r>
    </w:p>
    <w:p w14:paraId="493C36D5">
      <w:pPr>
        <w:spacing w:line="360" w:lineRule="auto"/>
        <w:ind w:firstLine="420"/>
        <w:rPr>
          <w:rFonts w:hint="eastAsia" w:ascii="Times New Roman" w:hAnsi="Times New Roman" w:eastAsia="宋体" w:cs="Times New Roman"/>
          <w:lang w:val="en-US" w:eastAsia="zh-Hans"/>
        </w:rPr>
      </w:pPr>
      <w:r>
        <w:rPr>
          <w:rFonts w:hint="eastAsia" w:ascii="Times New Roman" w:hAnsi="Times New Roman" w:eastAsia="宋体" w:cs="Times New Roman"/>
        </w:rPr>
        <w:t>二期：</w:t>
      </w:r>
      <w:r>
        <w:rPr>
          <w:rFonts w:hint="eastAsia" w:ascii="Times New Roman" w:hAnsi="Times New Roman" w:eastAsia="宋体" w:cs="Times New Roman"/>
          <w:lang w:val="en-US" w:eastAsia="zh-CN"/>
        </w:rPr>
        <w:t>项目结束通过验收并收到乙方出具的发票后，甲方</w:t>
      </w:r>
      <w:r>
        <w:rPr>
          <w:rFonts w:hint="eastAsia" w:ascii="Times New Roman" w:hAnsi="Times New Roman" w:eastAsia="宋体" w:cs="Times New Roman"/>
          <w:lang w:val="en-US" w:eastAsia="zh-Hans"/>
        </w:rPr>
        <w:t>于</w:t>
      </w:r>
      <w:r>
        <w:rPr>
          <w:rFonts w:hint="eastAsia" w:ascii="Times New Roman" w:hAnsi="Times New Roman" w:eastAsia="宋体" w:cs="Times New Roman"/>
          <w:lang w:val="en-US" w:eastAsia="zh-CN"/>
        </w:rPr>
        <w:t>10</w:t>
      </w:r>
      <w:r>
        <w:rPr>
          <w:rFonts w:hint="eastAsia" w:ascii="Times New Roman" w:hAnsi="Times New Roman" w:eastAsia="宋体" w:cs="Times New Roman"/>
          <w:lang w:val="en-US" w:eastAsia="zh-Hans"/>
        </w:rPr>
        <w:t>个工作日支付</w:t>
      </w:r>
      <w:r>
        <w:rPr>
          <w:rFonts w:hint="eastAsia" w:ascii="Times New Roman" w:hAnsi="Times New Roman" w:eastAsia="宋体" w:cs="Times New Roman"/>
          <w:lang w:val="en-US" w:eastAsia="zh-CN"/>
        </w:rPr>
        <w:t>尾款</w:t>
      </w:r>
      <w:r>
        <w:rPr>
          <w:rFonts w:hint="eastAsia" w:ascii="Times New Roman" w:hAnsi="Times New Roman" w:eastAsia="宋体" w:cs="Times New Roman"/>
          <w:lang w:val="en-US" w:eastAsia="zh-Hans"/>
        </w:rPr>
        <w:t>。</w:t>
      </w:r>
    </w:p>
    <w:p w14:paraId="45AC4984">
      <w:pPr>
        <w:spacing w:line="360" w:lineRule="auto"/>
        <w:ind w:firstLine="420" w:firstLineChars="200"/>
        <w:rPr>
          <w:rFonts w:hint="eastAsia" w:ascii="Times New Roman" w:hAnsi="Times New Roman" w:eastAsia="宋体" w:cs="Times New Roman"/>
          <w:lang w:val="en-US" w:eastAsia="zh-Hans"/>
        </w:rPr>
      </w:pPr>
      <w:r>
        <w:rPr>
          <w:rFonts w:hint="eastAsia" w:ascii="Times New Roman" w:hAnsi="Times New Roman" w:eastAsia="宋体" w:cs="Times New Roman"/>
          <w:lang w:val="en-US" w:eastAsia="zh-Hans"/>
        </w:rPr>
        <w:t>注：①款项支付时，</w:t>
      </w:r>
      <w:r>
        <w:rPr>
          <w:rFonts w:hint="eastAsia" w:ascii="Times New Roman" w:hAnsi="Times New Roman" w:eastAsia="宋体" w:cs="Times New Roman"/>
          <w:lang w:val="en-US" w:eastAsia="zh-CN"/>
        </w:rPr>
        <w:t>乙方</w:t>
      </w:r>
      <w:r>
        <w:rPr>
          <w:rFonts w:hint="eastAsia" w:ascii="Times New Roman" w:hAnsi="Times New Roman" w:eastAsia="宋体" w:cs="Times New Roman"/>
          <w:lang w:val="en-US" w:eastAsia="zh-Hans"/>
        </w:rPr>
        <w:t>同时向</w:t>
      </w:r>
      <w:r>
        <w:rPr>
          <w:rFonts w:hint="eastAsia" w:ascii="Times New Roman" w:hAnsi="Times New Roman" w:eastAsia="宋体" w:cs="Times New Roman"/>
          <w:lang w:val="en-US" w:eastAsia="zh-CN"/>
        </w:rPr>
        <w:t>甲方</w:t>
      </w:r>
      <w:r>
        <w:rPr>
          <w:rFonts w:hint="eastAsia" w:ascii="Times New Roman" w:hAnsi="Times New Roman" w:eastAsia="宋体" w:cs="Times New Roman"/>
          <w:lang w:val="en-US" w:eastAsia="zh-Hans"/>
        </w:rPr>
        <w:t>提供相应金额的增值税发票。②付款方式：银行转账支付，</w:t>
      </w:r>
      <w:r>
        <w:rPr>
          <w:rFonts w:hint="eastAsia" w:ascii="Times New Roman" w:hAnsi="Times New Roman" w:eastAsia="宋体" w:cs="Times New Roman"/>
          <w:lang w:val="en-US" w:eastAsia="zh-CN"/>
        </w:rPr>
        <w:t>乙方</w:t>
      </w:r>
      <w:r>
        <w:rPr>
          <w:rFonts w:hint="eastAsia" w:ascii="Times New Roman" w:hAnsi="Times New Roman" w:eastAsia="宋体" w:cs="Times New Roman"/>
          <w:lang w:val="en-US" w:eastAsia="zh-Hans"/>
        </w:rPr>
        <w:t>对自行提供的银行账户信息负责，如该账户无法使用或无法正常接收款项的，均由</w:t>
      </w:r>
      <w:r>
        <w:rPr>
          <w:rFonts w:hint="eastAsia" w:ascii="Times New Roman" w:hAnsi="Times New Roman" w:eastAsia="宋体" w:cs="Times New Roman"/>
          <w:lang w:val="en-US" w:eastAsia="zh-CN"/>
        </w:rPr>
        <w:t>乙方</w:t>
      </w:r>
      <w:r>
        <w:rPr>
          <w:rFonts w:hint="eastAsia" w:ascii="Times New Roman" w:hAnsi="Times New Roman" w:eastAsia="宋体" w:cs="Times New Roman"/>
          <w:lang w:val="en-US" w:eastAsia="zh-Hans"/>
        </w:rPr>
        <w:t>自行承担责任。③</w:t>
      </w:r>
      <w:r>
        <w:rPr>
          <w:rFonts w:hint="eastAsia" w:ascii="Times New Roman" w:hAnsi="Times New Roman" w:eastAsia="宋体" w:cs="Times New Roman"/>
          <w:lang w:val="en-US" w:eastAsia="zh-CN"/>
        </w:rPr>
        <w:t>本项目使用的是财政资金，甲方</w:t>
      </w:r>
      <w:r>
        <w:rPr>
          <w:rFonts w:hint="eastAsia" w:ascii="Times New Roman" w:hAnsi="Times New Roman" w:eastAsia="宋体" w:cs="Times New Roman"/>
          <w:lang w:val="en-US" w:eastAsia="zh-Hans"/>
        </w:rPr>
        <w:t>在财政资金到达后向财政支付部门提出办理申请支付手续</w:t>
      </w:r>
      <w:r>
        <w:rPr>
          <w:rFonts w:hint="eastAsia" w:ascii="Times New Roman" w:hAnsi="Times New Roman" w:eastAsia="宋体" w:cs="Times New Roman"/>
          <w:lang w:val="en-US" w:eastAsia="zh-CN"/>
        </w:rPr>
        <w:t>即</w:t>
      </w:r>
      <w:r>
        <w:rPr>
          <w:rFonts w:hint="eastAsia" w:ascii="Times New Roman" w:hAnsi="Times New Roman" w:eastAsia="宋体" w:cs="Times New Roman"/>
          <w:lang w:val="en-US" w:eastAsia="zh-Hans"/>
        </w:rPr>
        <w:t>视为已经按期支付，</w:t>
      </w:r>
      <w:r>
        <w:rPr>
          <w:rFonts w:hint="eastAsia" w:ascii="Times New Roman" w:hAnsi="Times New Roman" w:eastAsia="宋体" w:cs="Times New Roman"/>
          <w:lang w:val="en-US" w:eastAsia="zh-CN"/>
        </w:rPr>
        <w:t>乙方</w:t>
      </w:r>
      <w:r>
        <w:rPr>
          <w:rFonts w:hint="eastAsia" w:ascii="Times New Roman" w:hAnsi="Times New Roman" w:eastAsia="宋体" w:cs="Times New Roman"/>
          <w:lang w:val="en-US" w:eastAsia="zh-Hans"/>
        </w:rPr>
        <w:t>不得追究任何逾期支付的违约责任。</w:t>
      </w:r>
    </w:p>
    <w:p w14:paraId="07CBB0E7">
      <w:pPr>
        <w:spacing w:line="360" w:lineRule="auto"/>
        <w:ind w:firstLine="422" w:firstLineChars="200"/>
      </w:pPr>
      <w:r>
        <w:rPr>
          <w:b/>
        </w:rPr>
        <w:t>六、政策说明</w:t>
      </w:r>
    </w:p>
    <w:p w14:paraId="55F15F10">
      <w:pPr>
        <w:spacing w:line="360" w:lineRule="auto"/>
        <w:ind w:firstLine="420"/>
      </w:pPr>
      <w:r>
        <w:t>如因政策性问题导致本项目的取消，致使本项目的履行成为不必要或不可能的，</w:t>
      </w:r>
      <w:r>
        <w:rPr>
          <w:rFonts w:hint="eastAsia"/>
        </w:rPr>
        <w:t>甲方</w:t>
      </w:r>
      <w:r>
        <w:t>有权无偿终止合同。</w:t>
      </w:r>
    </w:p>
    <w:p w14:paraId="6A4DC787">
      <w:pPr>
        <w:tabs>
          <w:tab w:val="left" w:pos="630"/>
        </w:tabs>
        <w:spacing w:line="360" w:lineRule="auto"/>
        <w:ind w:firstLine="422" w:firstLineChars="200"/>
        <w:rPr>
          <w:b/>
          <w:szCs w:val="21"/>
        </w:rPr>
      </w:pPr>
      <w:r>
        <w:rPr>
          <w:rFonts w:hint="eastAsia"/>
          <w:b/>
          <w:szCs w:val="21"/>
        </w:rPr>
        <w:t>七、</w:t>
      </w:r>
      <w:r>
        <w:rPr>
          <w:b/>
          <w:szCs w:val="21"/>
        </w:rPr>
        <w:t>甲方乙方的权利和义务</w:t>
      </w:r>
    </w:p>
    <w:p w14:paraId="3E7F3DED">
      <w:pPr>
        <w:numPr>
          <w:ilvl w:val="0"/>
          <w:numId w:val="3"/>
        </w:numPr>
        <w:spacing w:line="360" w:lineRule="auto"/>
        <w:rPr>
          <w:szCs w:val="21"/>
        </w:rPr>
      </w:pPr>
      <w:r>
        <w:rPr>
          <w:szCs w:val="21"/>
        </w:rPr>
        <w:t>甲方的权利和义务</w:t>
      </w:r>
    </w:p>
    <w:p w14:paraId="69AB08E4">
      <w:pPr>
        <w:pStyle w:val="6"/>
        <w:ind w:firstLine="420" w:firstLineChars="200"/>
        <w:rPr>
          <w:rFonts w:ascii="Times New Roman" w:hAnsi="Times New Roman"/>
          <w:sz w:val="21"/>
        </w:rPr>
      </w:pPr>
      <w:r>
        <w:rPr>
          <w:rFonts w:ascii="Times New Roman" w:hAnsi="Times New Roman"/>
          <w:sz w:val="21"/>
        </w:rPr>
        <w:t>1、甲方有权要求乙方按照本合同约定的期限、质量标准完成技术服务项目，并享有乙方交付成果的全部权利。</w:t>
      </w:r>
    </w:p>
    <w:p w14:paraId="390A7D47">
      <w:pPr>
        <w:spacing w:line="360" w:lineRule="auto"/>
        <w:ind w:firstLine="420"/>
        <w:jc w:val="left"/>
      </w:pPr>
      <w:r>
        <w:t>2、甲方有权对乙方的工作进行监督，</w:t>
      </w:r>
      <w:r>
        <w:rPr>
          <w:rFonts w:hint="eastAsia"/>
        </w:rPr>
        <w:t>甲方将不定期开展现场质量监督或以盲样考核方式保证监测质量，乙方不得拒绝。如质量考核结果不合格，乙方应开展自查并重新开展当期样品监测，所产生费用由乙方自行承担。</w:t>
      </w:r>
      <w:r>
        <w:t>并根据实际情况对乙方的工作提出修改建议。</w:t>
      </w:r>
    </w:p>
    <w:p w14:paraId="6E89C598">
      <w:pPr>
        <w:pStyle w:val="6"/>
        <w:ind w:firstLine="420" w:firstLineChars="200"/>
        <w:rPr>
          <w:rFonts w:ascii="Times New Roman" w:hAnsi="Times New Roman"/>
          <w:sz w:val="21"/>
        </w:rPr>
      </w:pPr>
      <w:r>
        <w:rPr>
          <w:rFonts w:ascii="Times New Roman" w:hAnsi="Times New Roman"/>
          <w:sz w:val="21"/>
        </w:rPr>
        <w:t>3、甲方应按合同付款方式付清乙方款项。</w:t>
      </w:r>
    </w:p>
    <w:p w14:paraId="773AF1FC">
      <w:pPr>
        <w:numPr>
          <w:ilvl w:val="0"/>
          <w:numId w:val="3"/>
        </w:numPr>
        <w:spacing w:line="360" w:lineRule="auto"/>
        <w:rPr>
          <w:szCs w:val="21"/>
        </w:rPr>
      </w:pPr>
      <w:r>
        <w:rPr>
          <w:szCs w:val="21"/>
        </w:rPr>
        <w:t>乙方的权利和义务</w:t>
      </w:r>
    </w:p>
    <w:p w14:paraId="238C9F5B">
      <w:pPr>
        <w:pStyle w:val="6"/>
        <w:ind w:firstLine="420" w:firstLineChars="200"/>
        <w:rPr>
          <w:rFonts w:ascii="Times New Roman" w:hAnsi="Times New Roman"/>
          <w:sz w:val="21"/>
        </w:rPr>
      </w:pPr>
      <w:r>
        <w:rPr>
          <w:rFonts w:ascii="Times New Roman" w:hAnsi="Times New Roman"/>
          <w:sz w:val="21"/>
        </w:rPr>
        <w:t>1、乙方有权获得本合同约定的项目支付费用。</w:t>
      </w:r>
    </w:p>
    <w:p w14:paraId="2158AFF6">
      <w:pPr>
        <w:pStyle w:val="6"/>
        <w:ind w:firstLine="420" w:firstLineChars="200"/>
        <w:rPr>
          <w:rFonts w:ascii="Times New Roman" w:hAnsi="Times New Roman"/>
          <w:sz w:val="21"/>
        </w:rPr>
      </w:pPr>
      <w:r>
        <w:rPr>
          <w:rFonts w:ascii="Times New Roman" w:hAnsi="Times New Roman"/>
          <w:sz w:val="21"/>
        </w:rPr>
        <w:t>2、依本合同约定按时完成项目任务、交付项目成果，确保交付的技术成果达到合同约定标准，协助甲方做好成果归档等工作。</w:t>
      </w:r>
    </w:p>
    <w:p w14:paraId="4F55D722">
      <w:pPr>
        <w:pStyle w:val="6"/>
        <w:ind w:firstLine="420" w:firstLineChars="200"/>
        <w:rPr>
          <w:rFonts w:ascii="Times New Roman" w:hAnsi="Times New Roman"/>
          <w:sz w:val="21"/>
        </w:rPr>
      </w:pPr>
      <w:r>
        <w:rPr>
          <w:rFonts w:ascii="Times New Roman" w:hAnsi="Times New Roman"/>
          <w:sz w:val="21"/>
        </w:rPr>
        <w:t>3、按本合同约定自行组织项目实施，未经甲方书面允许，不得变更项目内容，不得进行项目分包。</w:t>
      </w:r>
    </w:p>
    <w:p w14:paraId="625C6C61">
      <w:pPr>
        <w:pStyle w:val="6"/>
        <w:ind w:firstLine="420" w:firstLineChars="200"/>
        <w:rPr>
          <w:rFonts w:ascii="Times New Roman" w:hAnsi="Times New Roman"/>
          <w:sz w:val="21"/>
        </w:rPr>
      </w:pPr>
      <w:r>
        <w:rPr>
          <w:rFonts w:ascii="Times New Roman" w:hAnsi="Times New Roman"/>
          <w:sz w:val="21"/>
        </w:rPr>
        <w:t>4、乙方收到甲方修改建议后，乙方应当按甲方要求进行整改。</w:t>
      </w:r>
    </w:p>
    <w:p w14:paraId="59E76A43">
      <w:pPr>
        <w:tabs>
          <w:tab w:val="left" w:pos="630"/>
        </w:tabs>
        <w:spacing w:line="360" w:lineRule="auto"/>
        <w:ind w:firstLine="422" w:firstLineChars="200"/>
        <w:rPr>
          <w:b/>
          <w:szCs w:val="21"/>
        </w:rPr>
      </w:pPr>
      <w:r>
        <w:rPr>
          <w:rFonts w:hint="eastAsia"/>
          <w:b/>
          <w:szCs w:val="21"/>
        </w:rPr>
        <w:t>八、</w:t>
      </w:r>
      <w:r>
        <w:rPr>
          <w:b/>
          <w:szCs w:val="21"/>
        </w:rPr>
        <w:t>知识产权归属</w:t>
      </w:r>
    </w:p>
    <w:p w14:paraId="0D26E372">
      <w:pPr>
        <w:tabs>
          <w:tab w:val="left" w:pos="900"/>
        </w:tabs>
        <w:spacing w:line="360" w:lineRule="auto"/>
        <w:ind w:firstLine="420" w:firstLineChars="200"/>
        <w:rPr>
          <w:b/>
          <w:szCs w:val="21"/>
        </w:rPr>
      </w:pPr>
      <w:r>
        <w:rPr>
          <w:szCs w:val="21"/>
        </w:rPr>
        <w:t>乙方应保证本项目的技术、服务或其任何一部分不会产生因第三方提出侵犯其专利权、商标权或其他知识产权而引起的法律和经济纠纷；如因第三方提出其专利权、商标权或其他知识产权的侵权之诉，则一切法律责任由乙方承担。</w:t>
      </w:r>
    </w:p>
    <w:p w14:paraId="57FEBEF7">
      <w:pPr>
        <w:tabs>
          <w:tab w:val="left" w:pos="630"/>
        </w:tabs>
        <w:spacing w:line="360" w:lineRule="auto"/>
        <w:ind w:firstLine="422" w:firstLineChars="200"/>
        <w:rPr>
          <w:b/>
          <w:szCs w:val="21"/>
        </w:rPr>
      </w:pPr>
      <w:r>
        <w:rPr>
          <w:rFonts w:hint="eastAsia"/>
          <w:b/>
          <w:szCs w:val="21"/>
        </w:rPr>
        <w:t>九、</w:t>
      </w:r>
      <w:r>
        <w:rPr>
          <w:b/>
          <w:szCs w:val="21"/>
        </w:rPr>
        <w:t>违约责任与赔偿损失</w:t>
      </w:r>
    </w:p>
    <w:p w14:paraId="3D247F64">
      <w:pPr>
        <w:tabs>
          <w:tab w:val="left" w:pos="900"/>
        </w:tabs>
        <w:spacing w:line="360" w:lineRule="auto"/>
        <w:ind w:firstLine="420" w:firstLineChars="200"/>
        <w:rPr>
          <w:szCs w:val="21"/>
        </w:rPr>
      </w:pPr>
      <w:r>
        <w:rPr>
          <w:szCs w:val="21"/>
        </w:rPr>
        <w:t>1) 乙方提供的服务不符合</w:t>
      </w:r>
      <w:r>
        <w:rPr>
          <w:rFonts w:hint="eastAsia"/>
          <w:szCs w:val="21"/>
          <w:lang w:eastAsia="zh-CN"/>
        </w:rPr>
        <w:t>项目需求书</w:t>
      </w:r>
      <w:r>
        <w:rPr>
          <w:szCs w:val="21"/>
        </w:rPr>
        <w:t>、响应文件或本合同规定的，甲方有权拒收，并且乙方须向甲方支付本合同总价5%的违约金。</w:t>
      </w:r>
    </w:p>
    <w:p w14:paraId="211C6E4A">
      <w:pPr>
        <w:tabs>
          <w:tab w:val="left" w:pos="900"/>
        </w:tabs>
        <w:spacing w:line="360" w:lineRule="auto"/>
        <w:ind w:firstLine="420" w:firstLineChars="200"/>
        <w:rPr>
          <w:szCs w:val="21"/>
        </w:rPr>
      </w:pPr>
      <w:r>
        <w:rPr>
          <w:szCs w:val="21"/>
        </w:rPr>
        <w:t>2) 乙方未能按本合同规定的时间提供服务，从逾期之日起每日按本合同总价3‰的数额向甲方支付违约金；逾期半个月以上的，甲方有权终止合同，由此造成的甲方经济损失由乙方承担。</w:t>
      </w:r>
    </w:p>
    <w:p w14:paraId="47D1AFAA">
      <w:pPr>
        <w:tabs>
          <w:tab w:val="left" w:pos="900"/>
        </w:tabs>
        <w:spacing w:line="360" w:lineRule="auto"/>
        <w:ind w:firstLine="420" w:firstLineChars="200"/>
        <w:rPr>
          <w:bCs/>
          <w:szCs w:val="21"/>
        </w:rPr>
      </w:pPr>
      <w:r>
        <w:rPr>
          <w:bCs/>
          <w:szCs w:val="21"/>
        </w:rPr>
        <w:t>3) 其它违约责任按</w:t>
      </w:r>
      <w:r>
        <w:rPr>
          <w:szCs w:val="21"/>
        </w:rPr>
        <w:t>《中华人民共和国民法典》第三编合同</w:t>
      </w:r>
      <w:r>
        <w:rPr>
          <w:bCs/>
          <w:szCs w:val="21"/>
        </w:rPr>
        <w:t>处理。</w:t>
      </w:r>
    </w:p>
    <w:p w14:paraId="5340729A">
      <w:pPr>
        <w:tabs>
          <w:tab w:val="left" w:pos="630"/>
        </w:tabs>
        <w:spacing w:line="360" w:lineRule="auto"/>
        <w:ind w:firstLine="422" w:firstLineChars="200"/>
        <w:rPr>
          <w:b/>
          <w:szCs w:val="21"/>
        </w:rPr>
      </w:pPr>
      <w:r>
        <w:rPr>
          <w:rFonts w:hint="eastAsia"/>
          <w:b/>
          <w:szCs w:val="21"/>
        </w:rPr>
        <w:t>十、</w:t>
      </w:r>
      <w:r>
        <w:rPr>
          <w:b/>
          <w:szCs w:val="21"/>
        </w:rPr>
        <w:t>争端的解决</w:t>
      </w:r>
    </w:p>
    <w:p w14:paraId="74F4BFF8">
      <w:pPr>
        <w:spacing w:line="360" w:lineRule="auto"/>
        <w:ind w:firstLine="420" w:firstLineChars="200"/>
        <w:rPr>
          <w:szCs w:val="21"/>
        </w:rPr>
      </w:pPr>
      <w:r>
        <w:rPr>
          <w:szCs w:val="21"/>
        </w:rPr>
        <w:t>合同执行过程中发生的任何争议，如双方不能通过友好协商解决，任何一方可向甲方所在地人民法院提起诉讼。</w:t>
      </w:r>
    </w:p>
    <w:p w14:paraId="6386B6B6">
      <w:pPr>
        <w:tabs>
          <w:tab w:val="left" w:pos="630"/>
        </w:tabs>
        <w:spacing w:line="360" w:lineRule="auto"/>
        <w:ind w:firstLine="422" w:firstLineChars="200"/>
        <w:rPr>
          <w:b/>
          <w:szCs w:val="21"/>
        </w:rPr>
      </w:pPr>
      <w:r>
        <w:rPr>
          <w:rFonts w:hint="eastAsia"/>
          <w:b/>
          <w:szCs w:val="21"/>
        </w:rPr>
        <w:t>十一、</w:t>
      </w:r>
      <w:r>
        <w:rPr>
          <w:b/>
          <w:szCs w:val="21"/>
        </w:rPr>
        <w:t>不可抗力</w:t>
      </w:r>
    </w:p>
    <w:p w14:paraId="7413E8A2">
      <w:pPr>
        <w:spacing w:line="360" w:lineRule="auto"/>
        <w:ind w:firstLine="411" w:firstLineChars="196"/>
        <w:rPr>
          <w:szCs w:val="21"/>
        </w:rPr>
      </w:pPr>
      <w:r>
        <w:rPr>
          <w:szCs w:val="21"/>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14:paraId="1164F335">
      <w:pPr>
        <w:tabs>
          <w:tab w:val="left" w:pos="630"/>
        </w:tabs>
        <w:spacing w:line="360" w:lineRule="auto"/>
        <w:ind w:firstLine="422" w:firstLineChars="200"/>
        <w:rPr>
          <w:b/>
          <w:szCs w:val="21"/>
        </w:rPr>
      </w:pPr>
      <w:r>
        <w:rPr>
          <w:rFonts w:hint="eastAsia"/>
          <w:b/>
          <w:szCs w:val="21"/>
        </w:rPr>
        <w:t>十二、</w:t>
      </w:r>
      <w:r>
        <w:rPr>
          <w:b/>
          <w:szCs w:val="21"/>
        </w:rPr>
        <w:t>税费</w:t>
      </w:r>
    </w:p>
    <w:p w14:paraId="58152E65">
      <w:pPr>
        <w:spacing w:line="360" w:lineRule="auto"/>
        <w:ind w:firstLine="411" w:firstLineChars="196"/>
        <w:rPr>
          <w:szCs w:val="21"/>
        </w:rPr>
      </w:pPr>
      <w:r>
        <w:rPr>
          <w:szCs w:val="21"/>
        </w:rPr>
        <w:t>在中国境内、外发生的与本合同执行有关的一切税费均由乙方负担。</w:t>
      </w:r>
    </w:p>
    <w:p w14:paraId="572FCA10">
      <w:pPr>
        <w:tabs>
          <w:tab w:val="left" w:pos="630"/>
        </w:tabs>
        <w:spacing w:line="360" w:lineRule="auto"/>
        <w:ind w:firstLine="422" w:firstLineChars="200"/>
        <w:rPr>
          <w:b/>
          <w:szCs w:val="21"/>
        </w:rPr>
      </w:pPr>
      <w:r>
        <w:rPr>
          <w:rFonts w:hint="eastAsia"/>
          <w:b/>
          <w:szCs w:val="21"/>
        </w:rPr>
        <w:t>十三、</w:t>
      </w:r>
      <w:r>
        <w:rPr>
          <w:b/>
          <w:szCs w:val="21"/>
        </w:rPr>
        <w:t>其它</w:t>
      </w:r>
    </w:p>
    <w:p w14:paraId="0DD88623">
      <w:pPr>
        <w:tabs>
          <w:tab w:val="left" w:pos="900"/>
        </w:tabs>
        <w:spacing w:line="360" w:lineRule="auto"/>
        <w:ind w:firstLine="420" w:firstLineChars="200"/>
        <w:rPr>
          <w:b/>
          <w:szCs w:val="21"/>
        </w:rPr>
      </w:pPr>
      <w:r>
        <w:rPr>
          <w:rFonts w:hint="eastAsia"/>
          <w:szCs w:val="21"/>
          <w:lang w:val="en-US" w:eastAsia="zh-CN"/>
        </w:rPr>
        <w:t>1、</w:t>
      </w:r>
      <w:r>
        <w:rPr>
          <w:szCs w:val="21"/>
        </w:rPr>
        <w:t>本合同所有附件、</w:t>
      </w:r>
      <w:r>
        <w:rPr>
          <w:rFonts w:hint="eastAsia"/>
          <w:szCs w:val="21"/>
          <w:lang w:val="en-US" w:eastAsia="zh-CN"/>
        </w:rPr>
        <w:t>项目需求书</w:t>
      </w:r>
      <w:r>
        <w:rPr>
          <w:szCs w:val="21"/>
        </w:rPr>
        <w:t>、响应文件均为合同的有效组成部分，与本合同具有同等法律效力。</w:t>
      </w:r>
    </w:p>
    <w:p w14:paraId="201015EE">
      <w:pPr>
        <w:tabs>
          <w:tab w:val="left" w:pos="900"/>
        </w:tabs>
        <w:spacing w:line="360" w:lineRule="auto"/>
        <w:ind w:firstLine="420" w:firstLineChars="200"/>
        <w:rPr>
          <w:szCs w:val="21"/>
        </w:rPr>
      </w:pPr>
      <w:r>
        <w:rPr>
          <w:bCs/>
          <w:szCs w:val="21"/>
        </w:rPr>
        <w:t>2</w:t>
      </w:r>
      <w:r>
        <w:rPr>
          <w:rFonts w:hint="eastAsia"/>
          <w:bCs/>
          <w:szCs w:val="21"/>
          <w:lang w:eastAsia="zh-CN"/>
        </w:rPr>
        <w:t>、</w:t>
      </w:r>
      <w:r>
        <w:rPr>
          <w:szCs w:val="21"/>
        </w:rPr>
        <w:t>在执行本合同的过程中，所有经双方签署确认的文件（包括会议纪要、补充协议、往来信函）即成为本合同的有效组成部分。</w:t>
      </w:r>
    </w:p>
    <w:p w14:paraId="2C9FD6B3">
      <w:pPr>
        <w:tabs>
          <w:tab w:val="left" w:pos="900"/>
        </w:tabs>
        <w:spacing w:line="360" w:lineRule="auto"/>
        <w:ind w:firstLine="420" w:firstLineChars="200"/>
        <w:rPr>
          <w:szCs w:val="21"/>
        </w:rPr>
      </w:pPr>
      <w:r>
        <w:rPr>
          <w:szCs w:val="21"/>
        </w:rPr>
        <w:t>3</w:t>
      </w:r>
      <w:r>
        <w:rPr>
          <w:rFonts w:hint="eastAsia"/>
          <w:szCs w:val="21"/>
          <w:lang w:eastAsia="zh-CN"/>
        </w:rPr>
        <w:t>、</w:t>
      </w:r>
      <w:r>
        <w:rPr>
          <w:szCs w:val="21"/>
        </w:rPr>
        <w:t xml:space="preserve">如一方地址、电话、传真号码有变更，应在变更当日内书面通知对方，否则，应承担相应责任。 </w:t>
      </w:r>
    </w:p>
    <w:p w14:paraId="76D349B8">
      <w:pPr>
        <w:tabs>
          <w:tab w:val="left" w:pos="900"/>
        </w:tabs>
        <w:spacing w:line="360" w:lineRule="auto"/>
        <w:ind w:firstLine="420" w:firstLineChars="200"/>
        <w:rPr>
          <w:szCs w:val="21"/>
        </w:rPr>
      </w:pPr>
      <w:r>
        <w:rPr>
          <w:szCs w:val="21"/>
        </w:rPr>
        <w:t>4</w:t>
      </w:r>
      <w:r>
        <w:rPr>
          <w:rFonts w:hint="eastAsia"/>
          <w:szCs w:val="21"/>
          <w:lang w:eastAsia="zh-CN"/>
        </w:rPr>
        <w:t>、</w:t>
      </w:r>
      <w:r>
        <w:rPr>
          <w:szCs w:val="21"/>
        </w:rPr>
        <w:t>除甲方事先书面同意外，乙方不得部分或全部转让其应履行的合同项下的义务。</w:t>
      </w:r>
    </w:p>
    <w:p w14:paraId="707064F8">
      <w:pPr>
        <w:tabs>
          <w:tab w:val="left" w:pos="900"/>
        </w:tabs>
        <w:spacing w:line="360" w:lineRule="auto"/>
        <w:ind w:firstLine="420" w:firstLineChars="200"/>
        <w:rPr>
          <w:rFonts w:hint="eastAsia"/>
          <w:szCs w:val="21"/>
          <w:lang w:val="en-US" w:eastAsia="zh-CN"/>
        </w:rPr>
      </w:pPr>
      <w:r>
        <w:rPr>
          <w:rFonts w:hint="eastAsia"/>
          <w:szCs w:val="21"/>
          <w:lang w:val="en-US" w:eastAsia="zh-CN"/>
        </w:rPr>
        <w:t>5、项目实际总结算金额累计达到合同总价时，本合同自动终止。</w:t>
      </w:r>
    </w:p>
    <w:p w14:paraId="1FF40868">
      <w:pPr>
        <w:tabs>
          <w:tab w:val="left" w:pos="630"/>
        </w:tabs>
        <w:spacing w:line="360" w:lineRule="auto"/>
        <w:ind w:firstLine="422" w:firstLineChars="200"/>
        <w:rPr>
          <w:b/>
          <w:szCs w:val="21"/>
        </w:rPr>
      </w:pPr>
      <w:r>
        <w:rPr>
          <w:rFonts w:hint="eastAsia"/>
          <w:b/>
          <w:szCs w:val="21"/>
        </w:rPr>
        <w:t>十四、</w:t>
      </w:r>
      <w:r>
        <w:rPr>
          <w:b/>
          <w:szCs w:val="21"/>
        </w:rPr>
        <w:t>合同生效</w:t>
      </w:r>
    </w:p>
    <w:p w14:paraId="739B395E">
      <w:pPr>
        <w:tabs>
          <w:tab w:val="left" w:pos="900"/>
        </w:tabs>
        <w:spacing w:line="360" w:lineRule="auto"/>
        <w:ind w:firstLine="420" w:firstLineChars="200"/>
        <w:rPr>
          <w:szCs w:val="21"/>
        </w:rPr>
      </w:pPr>
      <w:r>
        <w:rPr>
          <w:szCs w:val="21"/>
        </w:rPr>
        <w:t>1</w:t>
      </w:r>
      <w:r>
        <w:rPr>
          <w:rFonts w:hint="eastAsia"/>
          <w:szCs w:val="21"/>
          <w:lang w:eastAsia="zh-CN"/>
        </w:rPr>
        <w:t>、</w:t>
      </w:r>
      <w:r>
        <w:rPr>
          <w:szCs w:val="21"/>
        </w:rPr>
        <w:t>本合同在甲乙双方法人代表或其授权代表签字盖章后生效。</w:t>
      </w:r>
    </w:p>
    <w:p w14:paraId="23789F25">
      <w:pPr>
        <w:tabs>
          <w:tab w:val="left" w:pos="900"/>
        </w:tabs>
        <w:spacing w:line="360" w:lineRule="auto"/>
        <w:ind w:left="210" w:leftChars="100" w:firstLine="210" w:firstLineChars="100"/>
        <w:rPr>
          <w:szCs w:val="21"/>
        </w:rPr>
      </w:pPr>
      <w:r>
        <w:rPr>
          <w:szCs w:val="21"/>
        </w:rPr>
        <w:t>2</w:t>
      </w:r>
      <w:r>
        <w:rPr>
          <w:rFonts w:hint="eastAsia"/>
          <w:szCs w:val="21"/>
          <w:lang w:eastAsia="zh-CN"/>
        </w:rPr>
        <w:t>、</w:t>
      </w:r>
      <w:r>
        <w:rPr>
          <w:szCs w:val="21"/>
        </w:rPr>
        <w:t>合同一式</w:t>
      </w:r>
      <w:r>
        <w:rPr>
          <w:szCs w:val="21"/>
          <w:u w:val="single"/>
        </w:rPr>
        <w:t xml:space="preserve"> </w:t>
      </w:r>
      <w:r>
        <w:rPr>
          <w:rFonts w:hint="eastAsia"/>
          <w:szCs w:val="21"/>
          <w:u w:val="single"/>
        </w:rPr>
        <w:t>肆</w:t>
      </w:r>
      <w:r>
        <w:rPr>
          <w:szCs w:val="21"/>
          <w:u w:val="single"/>
        </w:rPr>
        <w:t xml:space="preserve"> </w:t>
      </w:r>
      <w:r>
        <w:rPr>
          <w:szCs w:val="21"/>
        </w:rPr>
        <w:t>份，其中甲方</w:t>
      </w:r>
      <w:r>
        <w:rPr>
          <w:szCs w:val="21"/>
          <w:u w:val="single"/>
        </w:rPr>
        <w:t xml:space="preserve"> </w:t>
      </w:r>
      <w:r>
        <w:rPr>
          <w:rFonts w:hint="eastAsia"/>
          <w:szCs w:val="21"/>
          <w:u w:val="single"/>
        </w:rPr>
        <w:t>叁</w:t>
      </w:r>
      <w:r>
        <w:rPr>
          <w:szCs w:val="21"/>
          <w:u w:val="single"/>
        </w:rPr>
        <w:t xml:space="preserve"> </w:t>
      </w:r>
      <w:r>
        <w:rPr>
          <w:szCs w:val="21"/>
        </w:rPr>
        <w:t>份，乙方</w:t>
      </w:r>
      <w:r>
        <w:rPr>
          <w:szCs w:val="21"/>
          <w:u w:val="single"/>
        </w:rPr>
        <w:t xml:space="preserve"> </w:t>
      </w:r>
      <w:r>
        <w:rPr>
          <w:rFonts w:hint="eastAsia"/>
          <w:szCs w:val="21"/>
          <w:u w:val="single"/>
        </w:rPr>
        <w:t>壹</w:t>
      </w:r>
      <w:r>
        <w:rPr>
          <w:szCs w:val="21"/>
          <w:u w:val="single"/>
        </w:rPr>
        <w:t xml:space="preserve"> </w:t>
      </w:r>
      <w:r>
        <w:rPr>
          <w:szCs w:val="21"/>
        </w:rPr>
        <w:t>份。</w:t>
      </w:r>
    </w:p>
    <w:p w14:paraId="6B762753">
      <w:pPr>
        <w:spacing w:line="340" w:lineRule="exact"/>
        <w:rPr>
          <w:rFonts w:ascii="宋体" w:hAnsi="宋体"/>
          <w:b/>
          <w:szCs w:val="21"/>
          <w:highlight w:val="yellow"/>
        </w:rPr>
      </w:pPr>
    </w:p>
    <w:p w14:paraId="06D9C176">
      <w:pPr>
        <w:spacing w:line="340" w:lineRule="exact"/>
        <w:rPr>
          <w:rFonts w:ascii="宋体" w:hAnsi="宋体"/>
          <w:b/>
          <w:szCs w:val="21"/>
        </w:rPr>
      </w:pPr>
    </w:p>
    <w:tbl>
      <w:tblPr>
        <w:tblStyle w:val="1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903"/>
        <w:gridCol w:w="4903"/>
      </w:tblGrid>
      <w:tr w14:paraId="0DC2B7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4903" w:type="dxa"/>
            <w:tcBorders>
              <w:tl2br w:val="nil"/>
              <w:tr2bl w:val="nil"/>
            </w:tcBorders>
            <w:vAlign w:val="center"/>
          </w:tcPr>
          <w:p w14:paraId="53A61487">
            <w:pPr>
              <w:spacing w:line="360" w:lineRule="auto"/>
              <w:rPr>
                <w:rFonts w:hint="eastAsia" w:ascii="宋体" w:hAnsi="宋体"/>
                <w:szCs w:val="21"/>
                <w:vertAlign w:val="baseline"/>
              </w:rPr>
            </w:pPr>
            <w:r>
              <w:rPr>
                <w:rFonts w:hint="eastAsia" w:ascii="宋体" w:hAnsi="宋体"/>
                <w:szCs w:val="21"/>
              </w:rPr>
              <w:t>甲方（盖章）：</w:t>
            </w:r>
          </w:p>
        </w:tc>
        <w:tc>
          <w:tcPr>
            <w:tcW w:w="4903" w:type="dxa"/>
            <w:tcBorders>
              <w:tl2br w:val="nil"/>
              <w:tr2bl w:val="nil"/>
            </w:tcBorders>
            <w:vAlign w:val="center"/>
          </w:tcPr>
          <w:p w14:paraId="5E0BC5F9">
            <w:pPr>
              <w:spacing w:line="360" w:lineRule="auto"/>
              <w:rPr>
                <w:rFonts w:hint="eastAsia" w:ascii="宋体" w:hAnsi="宋体"/>
                <w:szCs w:val="21"/>
                <w:vertAlign w:val="baseline"/>
              </w:rPr>
            </w:pPr>
            <w:r>
              <w:rPr>
                <w:rFonts w:hint="eastAsia" w:ascii="宋体" w:hAnsi="宋体"/>
                <w:szCs w:val="21"/>
              </w:rPr>
              <w:t xml:space="preserve"> 乙方（盖章）：</w:t>
            </w:r>
          </w:p>
        </w:tc>
      </w:tr>
      <w:tr w14:paraId="0EAEB9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4903" w:type="dxa"/>
            <w:tcBorders>
              <w:tl2br w:val="nil"/>
              <w:tr2bl w:val="nil"/>
            </w:tcBorders>
            <w:vAlign w:val="center"/>
          </w:tcPr>
          <w:p w14:paraId="1354565D">
            <w:pPr>
              <w:spacing w:line="360" w:lineRule="auto"/>
              <w:rPr>
                <w:rFonts w:hint="eastAsia" w:ascii="宋体" w:hAnsi="宋体"/>
                <w:szCs w:val="21"/>
                <w:vertAlign w:val="baseline"/>
              </w:rPr>
            </w:pPr>
            <w:r>
              <w:rPr>
                <w:rFonts w:hint="eastAsia" w:ascii="宋体" w:hAnsi="宋体"/>
                <w:szCs w:val="21"/>
              </w:rPr>
              <w:t>法定代表/授权代表（签字）：</w:t>
            </w:r>
          </w:p>
        </w:tc>
        <w:tc>
          <w:tcPr>
            <w:tcW w:w="4903" w:type="dxa"/>
            <w:tcBorders>
              <w:tl2br w:val="nil"/>
              <w:tr2bl w:val="nil"/>
            </w:tcBorders>
            <w:vAlign w:val="center"/>
          </w:tcPr>
          <w:p w14:paraId="665D96B7">
            <w:pPr>
              <w:spacing w:line="360" w:lineRule="auto"/>
              <w:rPr>
                <w:rFonts w:hint="eastAsia" w:ascii="宋体" w:hAnsi="宋体"/>
                <w:szCs w:val="21"/>
                <w:vertAlign w:val="baseline"/>
              </w:rPr>
            </w:pPr>
            <w:r>
              <w:rPr>
                <w:rFonts w:hint="eastAsia" w:ascii="宋体" w:hAnsi="宋体"/>
                <w:szCs w:val="21"/>
              </w:rPr>
              <w:t>法定代表/授权代表（签字）：</w:t>
            </w:r>
          </w:p>
        </w:tc>
      </w:tr>
      <w:tr w14:paraId="576E5A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4903" w:type="dxa"/>
            <w:tcBorders>
              <w:tl2br w:val="nil"/>
              <w:tr2bl w:val="nil"/>
            </w:tcBorders>
            <w:vAlign w:val="center"/>
          </w:tcPr>
          <w:p w14:paraId="1B2557C2">
            <w:pPr>
              <w:spacing w:line="360" w:lineRule="auto"/>
              <w:rPr>
                <w:rFonts w:hint="eastAsia" w:ascii="宋体" w:hAnsi="宋体"/>
                <w:szCs w:val="21"/>
                <w:vertAlign w:val="baseline"/>
              </w:rPr>
            </w:pPr>
            <w:r>
              <w:rPr>
                <w:rFonts w:hint="eastAsia" w:ascii="宋体" w:hAnsi="宋体"/>
                <w:szCs w:val="21"/>
              </w:rPr>
              <w:t xml:space="preserve">日期：      年    月    日 </w:t>
            </w:r>
          </w:p>
        </w:tc>
        <w:tc>
          <w:tcPr>
            <w:tcW w:w="4903" w:type="dxa"/>
            <w:tcBorders>
              <w:tl2br w:val="nil"/>
              <w:tr2bl w:val="nil"/>
            </w:tcBorders>
            <w:vAlign w:val="center"/>
          </w:tcPr>
          <w:p w14:paraId="693879A6">
            <w:pPr>
              <w:spacing w:line="360" w:lineRule="auto"/>
              <w:rPr>
                <w:rFonts w:hint="eastAsia" w:ascii="宋体" w:hAnsi="宋体"/>
                <w:szCs w:val="21"/>
                <w:vertAlign w:val="baseline"/>
              </w:rPr>
            </w:pPr>
            <w:r>
              <w:rPr>
                <w:rFonts w:hint="eastAsia" w:ascii="宋体" w:hAnsi="宋体"/>
                <w:szCs w:val="21"/>
              </w:rPr>
              <w:t>日期：      年    月    日</w:t>
            </w:r>
          </w:p>
        </w:tc>
      </w:tr>
      <w:tr w14:paraId="53BFD2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4903" w:type="dxa"/>
            <w:tcBorders>
              <w:tl2br w:val="nil"/>
              <w:tr2bl w:val="nil"/>
            </w:tcBorders>
            <w:vAlign w:val="center"/>
          </w:tcPr>
          <w:p w14:paraId="1720AEE7">
            <w:pPr>
              <w:spacing w:line="360" w:lineRule="auto"/>
              <w:rPr>
                <w:rFonts w:hint="eastAsia" w:ascii="宋体" w:hAnsi="宋体"/>
                <w:szCs w:val="21"/>
                <w:vertAlign w:val="baseline"/>
              </w:rPr>
            </w:pPr>
            <w:r>
              <w:rPr>
                <w:rFonts w:hint="eastAsia" w:ascii="宋体" w:hAnsi="宋体" w:cs="宋体"/>
                <w:szCs w:val="21"/>
              </w:rPr>
              <w:t>开户名称：</w:t>
            </w:r>
            <w:r>
              <w:rPr>
                <w:rFonts w:hint="eastAsia" w:ascii="宋体" w:hAnsi="宋体"/>
                <w:szCs w:val="21"/>
              </w:rPr>
              <w:t xml:space="preserve"> </w:t>
            </w:r>
          </w:p>
        </w:tc>
        <w:tc>
          <w:tcPr>
            <w:tcW w:w="4903" w:type="dxa"/>
            <w:tcBorders>
              <w:tl2br w:val="nil"/>
              <w:tr2bl w:val="nil"/>
            </w:tcBorders>
            <w:vAlign w:val="center"/>
          </w:tcPr>
          <w:p w14:paraId="7D00D997">
            <w:pPr>
              <w:spacing w:line="360" w:lineRule="auto"/>
              <w:rPr>
                <w:rFonts w:hint="eastAsia" w:ascii="宋体" w:hAnsi="宋体"/>
                <w:szCs w:val="21"/>
                <w:vertAlign w:val="baseline"/>
              </w:rPr>
            </w:pPr>
            <w:r>
              <w:rPr>
                <w:rFonts w:hint="eastAsia" w:ascii="宋体" w:hAnsi="宋体" w:cs="宋体"/>
                <w:szCs w:val="21"/>
              </w:rPr>
              <w:t>开户名称：</w:t>
            </w:r>
          </w:p>
        </w:tc>
      </w:tr>
      <w:tr w14:paraId="39D712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4903" w:type="dxa"/>
            <w:tcBorders>
              <w:tl2br w:val="nil"/>
              <w:tr2bl w:val="nil"/>
            </w:tcBorders>
            <w:vAlign w:val="center"/>
          </w:tcPr>
          <w:p w14:paraId="4FD27FB1">
            <w:pPr>
              <w:spacing w:line="360" w:lineRule="auto"/>
              <w:rPr>
                <w:rFonts w:hint="eastAsia" w:ascii="宋体" w:hAnsi="宋体"/>
                <w:szCs w:val="21"/>
                <w:vertAlign w:val="baseline"/>
              </w:rPr>
            </w:pPr>
            <w:r>
              <w:rPr>
                <w:rFonts w:hint="eastAsia" w:ascii="宋体" w:hAnsi="宋体"/>
                <w:szCs w:val="21"/>
              </w:rPr>
              <w:t>开户银行：</w:t>
            </w:r>
          </w:p>
        </w:tc>
        <w:tc>
          <w:tcPr>
            <w:tcW w:w="4903" w:type="dxa"/>
            <w:tcBorders>
              <w:tl2br w:val="nil"/>
              <w:tr2bl w:val="nil"/>
            </w:tcBorders>
            <w:vAlign w:val="center"/>
          </w:tcPr>
          <w:p w14:paraId="2D471D58">
            <w:pPr>
              <w:spacing w:line="360" w:lineRule="auto"/>
              <w:rPr>
                <w:rFonts w:hint="eastAsia" w:ascii="宋体" w:hAnsi="宋体"/>
                <w:szCs w:val="21"/>
                <w:vertAlign w:val="baseline"/>
              </w:rPr>
            </w:pPr>
            <w:r>
              <w:rPr>
                <w:rFonts w:hint="eastAsia" w:ascii="宋体" w:hAnsi="宋体"/>
                <w:szCs w:val="21"/>
              </w:rPr>
              <w:t>开户银行：</w:t>
            </w:r>
          </w:p>
        </w:tc>
      </w:tr>
      <w:tr w14:paraId="3012A6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4903" w:type="dxa"/>
            <w:tcBorders>
              <w:tl2br w:val="nil"/>
              <w:tr2bl w:val="nil"/>
            </w:tcBorders>
            <w:vAlign w:val="center"/>
          </w:tcPr>
          <w:p w14:paraId="310AC9A8">
            <w:pPr>
              <w:spacing w:line="360" w:lineRule="auto"/>
              <w:rPr>
                <w:rFonts w:hint="eastAsia" w:ascii="宋体" w:hAnsi="宋体"/>
                <w:szCs w:val="21"/>
              </w:rPr>
            </w:pPr>
            <w:r>
              <w:rPr>
                <w:rFonts w:hint="eastAsia" w:ascii="宋体" w:hAnsi="宋体"/>
                <w:szCs w:val="21"/>
              </w:rPr>
              <w:t>开户账号：</w:t>
            </w:r>
          </w:p>
        </w:tc>
        <w:tc>
          <w:tcPr>
            <w:tcW w:w="4903" w:type="dxa"/>
            <w:tcBorders>
              <w:tl2br w:val="nil"/>
              <w:tr2bl w:val="nil"/>
            </w:tcBorders>
            <w:vAlign w:val="center"/>
          </w:tcPr>
          <w:p w14:paraId="35BBBB73">
            <w:pPr>
              <w:spacing w:line="360" w:lineRule="auto"/>
              <w:rPr>
                <w:rFonts w:hint="eastAsia" w:ascii="宋体" w:hAnsi="宋体"/>
                <w:szCs w:val="21"/>
              </w:rPr>
            </w:pPr>
            <w:r>
              <w:rPr>
                <w:rFonts w:hint="eastAsia" w:ascii="宋体" w:hAnsi="宋体"/>
                <w:szCs w:val="21"/>
              </w:rPr>
              <w:t>开户账号：</w:t>
            </w:r>
          </w:p>
        </w:tc>
      </w:tr>
      <w:tr w14:paraId="51392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4903" w:type="dxa"/>
            <w:tcBorders>
              <w:tl2br w:val="nil"/>
              <w:tr2bl w:val="nil"/>
            </w:tcBorders>
            <w:vAlign w:val="center"/>
          </w:tcPr>
          <w:p w14:paraId="1A6C3AC1">
            <w:pPr>
              <w:spacing w:line="360" w:lineRule="auto"/>
              <w:rPr>
                <w:rFonts w:hint="eastAsia" w:ascii="宋体" w:hAnsi="宋体"/>
                <w:szCs w:val="21"/>
              </w:rPr>
            </w:pPr>
            <w:r>
              <w:rPr>
                <w:rFonts w:hint="eastAsia"/>
                <w:szCs w:val="21"/>
                <w:lang w:eastAsia="zh-CN"/>
              </w:rPr>
              <w:t>统一社会信用代码：</w:t>
            </w:r>
          </w:p>
        </w:tc>
        <w:tc>
          <w:tcPr>
            <w:tcW w:w="4903" w:type="dxa"/>
            <w:tcBorders>
              <w:tl2br w:val="nil"/>
              <w:tr2bl w:val="nil"/>
            </w:tcBorders>
            <w:vAlign w:val="center"/>
          </w:tcPr>
          <w:p w14:paraId="1DA1A44E">
            <w:pPr>
              <w:spacing w:line="360" w:lineRule="auto"/>
              <w:rPr>
                <w:rFonts w:hint="eastAsia" w:ascii="宋体" w:hAnsi="宋体"/>
                <w:szCs w:val="21"/>
              </w:rPr>
            </w:pPr>
            <w:r>
              <w:rPr>
                <w:rFonts w:hint="eastAsia"/>
                <w:szCs w:val="21"/>
                <w:lang w:eastAsia="zh-CN"/>
              </w:rPr>
              <w:t>统一社会信用代码：</w:t>
            </w:r>
          </w:p>
        </w:tc>
      </w:tr>
    </w:tbl>
    <w:p w14:paraId="01760E9F"/>
    <w:p w14:paraId="3472F61A">
      <w:pPr>
        <w:pStyle w:val="4"/>
        <w:rPr>
          <w:rFonts w:hint="eastAsia"/>
          <w:lang w:val="en-US" w:eastAsia="zh-CN"/>
        </w:rPr>
      </w:pPr>
    </w:p>
    <w:sectPr>
      <w:footerReference r:id="rId3" w:type="default"/>
      <w:pgSz w:w="11906" w:h="16838"/>
      <w:pgMar w:top="1440" w:right="1080" w:bottom="1157" w:left="1080" w:header="851" w:footer="737"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MS UI Gothic">
    <w:altName w:val="方正书宋_GBK"/>
    <w:panose1 w:val="020B0600070205080204"/>
    <w:charset w:val="80"/>
    <w:family w:val="swiss"/>
    <w:pitch w:val="default"/>
    <w:sig w:usb0="00000000" w:usb1="00000000" w:usb2="08000012" w:usb3="00000000" w:csb0="4002009F" w:csb1="DFD70000"/>
  </w:font>
  <w:font w:name="国标小标宋">
    <w:panose1 w:val="02000500000000000000"/>
    <w:charset w:val="86"/>
    <w:family w:val="auto"/>
    <w:pitch w:val="default"/>
    <w:sig w:usb0="00000001" w:usb1="08000000" w:usb2="00000000" w:usb3="00000000" w:csb0="00060007"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国标黑体">
    <w:panose1 w:val="020005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2312">
    <w:panose1 w:val="02000000000000000000"/>
    <w:charset w:val="86"/>
    <w:family w:val="auto"/>
    <w:pitch w:val="default"/>
    <w:sig w:usb0="A00002BF" w:usb1="184F6CFA" w:usb2="00000012" w:usb3="00000000" w:csb0="00040001" w:csb1="00000000"/>
  </w:font>
  <w:font w:name="方正小标宋简体">
    <w:panose1 w:val="02000000000000000000"/>
    <w:charset w:val="86"/>
    <w:family w:val="auto"/>
    <w:pitch w:val="default"/>
    <w:sig w:usb0="A00002BF" w:usb1="184F6CFA" w:usb2="00000012" w:usb3="00000000" w:csb0="00040001" w:csb1="0000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国标仿宋">
    <w:panose1 w:val="02000500000000000000"/>
    <w:charset w:val="86"/>
    <w:family w:val="auto"/>
    <w:pitch w:val="default"/>
    <w:sig w:usb0="A00002BF" w:usb1="38C77CFA" w:usb2="00000016" w:usb3="00000000" w:csb0="000600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7B7341">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6A349B">
                          <w:pPr>
                            <w:pStyle w:val="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126A349B">
                    <w:pPr>
                      <w:pStyle w:val="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FEC9C9"/>
    <w:multiLevelType w:val="singleLevel"/>
    <w:tmpl w:val="BFFEC9C9"/>
    <w:lvl w:ilvl="0" w:tentative="0">
      <w:start w:val="2"/>
      <w:numFmt w:val="chineseCounting"/>
      <w:suff w:val="nothing"/>
      <w:lvlText w:val="（%1）"/>
      <w:lvlJc w:val="left"/>
      <w:rPr>
        <w:rFonts w:hint="eastAsia"/>
      </w:rPr>
    </w:lvl>
  </w:abstractNum>
  <w:abstractNum w:abstractNumId="1">
    <w:nsid w:val="DAF4D647"/>
    <w:multiLevelType w:val="singleLevel"/>
    <w:tmpl w:val="DAF4D647"/>
    <w:lvl w:ilvl="0" w:tentative="0">
      <w:start w:val="1"/>
      <w:numFmt w:val="decimal"/>
      <w:lvlText w:val="%1."/>
      <w:lvlJc w:val="left"/>
      <w:pPr>
        <w:tabs>
          <w:tab w:val="left" w:pos="312"/>
        </w:tabs>
      </w:pPr>
    </w:lvl>
  </w:abstractNum>
  <w:abstractNum w:abstractNumId="2">
    <w:nsid w:val="1CE6578E"/>
    <w:multiLevelType w:val="multilevel"/>
    <w:tmpl w:val="1CE6578E"/>
    <w:lvl w:ilvl="0" w:tentative="0">
      <w:start w:val="1"/>
      <w:numFmt w:val="japaneseCounting"/>
      <w:lvlText w:val="（%1）"/>
      <w:lvlJc w:val="left"/>
      <w:pPr>
        <w:ind w:left="1140" w:hanging="735"/>
      </w:pPr>
      <w:rPr>
        <w:rFonts w:hint="default"/>
      </w:rPr>
    </w:lvl>
    <w:lvl w:ilvl="1" w:tentative="0">
      <w:start w:val="1"/>
      <w:numFmt w:val="lowerLetter"/>
      <w:lvlText w:val="%2)"/>
      <w:lvlJc w:val="left"/>
      <w:pPr>
        <w:ind w:left="1245" w:hanging="420"/>
      </w:pPr>
    </w:lvl>
    <w:lvl w:ilvl="2" w:tentative="0">
      <w:start w:val="1"/>
      <w:numFmt w:val="lowerRoman"/>
      <w:lvlText w:val="%3."/>
      <w:lvlJc w:val="right"/>
      <w:pPr>
        <w:ind w:left="1665" w:hanging="420"/>
      </w:pPr>
    </w:lvl>
    <w:lvl w:ilvl="3" w:tentative="0">
      <w:start w:val="1"/>
      <w:numFmt w:val="decimal"/>
      <w:lvlText w:val="%4."/>
      <w:lvlJc w:val="left"/>
      <w:pPr>
        <w:ind w:left="2085" w:hanging="420"/>
      </w:pPr>
    </w:lvl>
    <w:lvl w:ilvl="4" w:tentative="0">
      <w:start w:val="1"/>
      <w:numFmt w:val="lowerLetter"/>
      <w:lvlText w:val="%5)"/>
      <w:lvlJc w:val="left"/>
      <w:pPr>
        <w:ind w:left="2505" w:hanging="420"/>
      </w:pPr>
    </w:lvl>
    <w:lvl w:ilvl="5" w:tentative="0">
      <w:start w:val="1"/>
      <w:numFmt w:val="lowerRoman"/>
      <w:lvlText w:val="%6."/>
      <w:lvlJc w:val="right"/>
      <w:pPr>
        <w:ind w:left="2925" w:hanging="420"/>
      </w:pPr>
    </w:lvl>
    <w:lvl w:ilvl="6" w:tentative="0">
      <w:start w:val="1"/>
      <w:numFmt w:val="decimal"/>
      <w:lvlText w:val="%7."/>
      <w:lvlJc w:val="left"/>
      <w:pPr>
        <w:ind w:left="3345" w:hanging="420"/>
      </w:pPr>
    </w:lvl>
    <w:lvl w:ilvl="7" w:tentative="0">
      <w:start w:val="1"/>
      <w:numFmt w:val="lowerLetter"/>
      <w:lvlText w:val="%8)"/>
      <w:lvlJc w:val="left"/>
      <w:pPr>
        <w:ind w:left="3765" w:hanging="420"/>
      </w:pPr>
    </w:lvl>
    <w:lvl w:ilvl="8" w:tentative="0">
      <w:start w:val="1"/>
      <w:numFmt w:val="lowerRoman"/>
      <w:lvlText w:val="%9."/>
      <w:lvlJc w:val="right"/>
      <w:pPr>
        <w:ind w:left="4185"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860001"/>
    <w:rsid w:val="09B55D46"/>
    <w:rsid w:val="09D771D4"/>
    <w:rsid w:val="0A0855DF"/>
    <w:rsid w:val="0B5C1160"/>
    <w:rsid w:val="0E8F2773"/>
    <w:rsid w:val="11DE1556"/>
    <w:rsid w:val="12BA7692"/>
    <w:rsid w:val="132A0CBC"/>
    <w:rsid w:val="14B051F1"/>
    <w:rsid w:val="154C78B3"/>
    <w:rsid w:val="15C745A0"/>
    <w:rsid w:val="15E4717D"/>
    <w:rsid w:val="195C6B0A"/>
    <w:rsid w:val="1EFE78B6"/>
    <w:rsid w:val="1FFB18C8"/>
    <w:rsid w:val="207215AC"/>
    <w:rsid w:val="296F9C2C"/>
    <w:rsid w:val="298A3181"/>
    <w:rsid w:val="2AE337D3"/>
    <w:rsid w:val="303E6135"/>
    <w:rsid w:val="3676E96C"/>
    <w:rsid w:val="36FA437E"/>
    <w:rsid w:val="3CFC0474"/>
    <w:rsid w:val="3F724CCD"/>
    <w:rsid w:val="413E2940"/>
    <w:rsid w:val="426A54DE"/>
    <w:rsid w:val="43433267"/>
    <w:rsid w:val="4AD35C16"/>
    <w:rsid w:val="4F77BCBF"/>
    <w:rsid w:val="50ED2406"/>
    <w:rsid w:val="57521214"/>
    <w:rsid w:val="58F41167"/>
    <w:rsid w:val="5D6B1056"/>
    <w:rsid w:val="60F872D1"/>
    <w:rsid w:val="65B87F90"/>
    <w:rsid w:val="66F67FD0"/>
    <w:rsid w:val="6E7934DA"/>
    <w:rsid w:val="6F7F38CA"/>
    <w:rsid w:val="702B4DF4"/>
    <w:rsid w:val="734FB252"/>
    <w:rsid w:val="77954AE9"/>
    <w:rsid w:val="7AD67F3A"/>
    <w:rsid w:val="9D7F4FEC"/>
    <w:rsid w:val="BB65E8E7"/>
    <w:rsid w:val="CFAE7423"/>
    <w:rsid w:val="D5DB16B3"/>
    <w:rsid w:val="DBAE1522"/>
    <w:rsid w:val="DEBFA2CA"/>
    <w:rsid w:val="F6AEB031"/>
    <w:rsid w:val="F96C3C77"/>
    <w:rsid w:val="FFCC0D29"/>
    <w:rsid w:val="FFF795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nhideWhenUsed="0" w:uiPriority="99" w:semiHidden="0" w:name="index 1"/>
    <w:lsdException w:unhideWhenUsed="0" w:uiPriority="99" w:semiHidden="0" w:name="index 2"/>
    <w:lsdException w:unhideWhenUsed="0" w:uiPriority="99" w:semiHidden="0" w:name="index 3"/>
    <w:lsdException w:unhideWhenUsed="0" w:uiPriority="99" w:semiHidden="0" w:name="index 4"/>
    <w:lsdException w:unhideWhenUsed="0" w:uiPriority="99" w:semiHidden="0" w:name="index 5"/>
    <w:lsdException w:unhideWhenUsed="0" w:uiPriority="99" w:semiHidden="0" w:name="index 6"/>
    <w:lsdException w:unhideWhenUsed="0" w:uiPriority="99" w:semiHidden="0" w:name="index 7"/>
    <w:lsdException w:unhideWhenUsed="0" w:uiPriority="99" w:semiHidden="0" w:name="index 8"/>
    <w:lsdException w:unhideWhenUsed="0" w:uiPriority="99" w:semiHidden="0" w:name="index 9"/>
    <w:lsdException w:unhideWhenUsed="0" w:uiPriority="99" w:semiHidden="0" w:name="toc 1"/>
    <w:lsdException w:unhideWhenUsed="0" w:uiPriority="99" w:semiHidden="0" w:name="toc 2"/>
    <w:lsdException w:unhideWhenUsed="0" w:uiPriority="99" w:semiHidden="0" w:name="toc 3"/>
    <w:lsdException w:unhideWhenUsed="0" w:uiPriority="99" w:semiHidden="0" w:name="toc 4"/>
    <w:lsdException w:unhideWhenUsed="0" w:uiPriority="99" w:semiHidden="0" w:name="toc 5"/>
    <w:lsdException w:unhideWhenUsed="0" w:uiPriority="99" w:semiHidden="0" w:name="toc 6"/>
    <w:lsdException w:unhideWhenUsed="0" w:uiPriority="99" w:semiHidden="0" w:name="toc 7"/>
    <w:lsdException w:unhideWhenUsed="0" w:uiPriority="99" w:semiHidden="0" w:name="toc 8"/>
    <w:lsdException w:unhideWhenUsed="0" w:uiPriority="99" w:semiHidden="0" w:name="toc 9"/>
    <w:lsdException w:unhideWhenUsed="0" w:uiPriority="99" w:semiHidden="0" w:name="Normal Indent"/>
    <w:lsdException w:unhideWhenUsed="0" w:uiPriority="99" w:semiHidden="0" w:name="footnote text"/>
    <w:lsdException w:unhideWhenUsed="0" w:uiPriority="99" w:semiHidden="0" w:name="annotation text"/>
    <w:lsdException w:qFormat="1" w:unhideWhenUsed="0" w:uiPriority="0" w:semiHidden="0" w:name="header"/>
    <w:lsdException w:qFormat="1" w:unhideWhenUsed="0" w:uiPriority="0" w:semiHidden="0" w:name="footer"/>
    <w:lsdException w:unhideWhenUsed="0" w:uiPriority="99" w:semiHidden="0" w:name="index heading"/>
    <w:lsdException w:uiPriority="99" w:name="caption"/>
    <w:lsdException w:unhideWhenUsed="0" w:uiPriority="99" w:semiHidden="0" w:name="table of figures"/>
    <w:lsdException w:unhideWhenUsed="0" w:uiPriority="99" w:semiHidden="0" w:name="envelope address"/>
    <w:lsdException w:unhideWhenUsed="0" w:uiPriority="99" w:semiHidden="0" w:name="envelope return"/>
    <w:lsdException w:unhideWhenUsed="0" w:uiPriority="99" w:semiHidden="0" w:name="footnote reference"/>
    <w:lsdException w:unhideWhenUsed="0" w:uiPriority="99" w:semiHidden="0" w:name="annotation reference"/>
    <w:lsdException w:unhideWhenUsed="0" w:uiPriority="99" w:semiHidden="0" w:name="line number"/>
    <w:lsdException w:unhideWhenUsed="0" w:uiPriority="99" w:semiHidden="0" w:name="page number"/>
    <w:lsdException w:unhideWhenUsed="0" w:uiPriority="99" w:semiHidden="0" w:name="endnote reference"/>
    <w:lsdException w:unhideWhenUsed="0" w:uiPriority="99" w:semiHidden="0" w:name="endnote text"/>
    <w:lsdException w:unhideWhenUsed="0" w:uiPriority="99" w:semiHidden="0" w:name="table of authorities"/>
    <w:lsdException w:unhideWhenUsed="0" w:uiPriority="99" w:semiHidden="0" w:name="macro"/>
    <w:lsdException w:unhideWhenUsed="0" w:uiPriority="99" w:semiHidden="0" w:name="toa heading"/>
    <w:lsdException w:unhideWhenUsed="0" w:uiPriority="99" w:semiHidden="0" w:name="List"/>
    <w:lsdException w:unhideWhenUsed="0" w:uiPriority="99" w:semiHidden="0" w:name="List Bullet"/>
    <w:lsdException w:unhideWhenUsed="0" w:uiPriority="99" w:semiHidden="0" w:name="List Number"/>
    <w:lsdException w:unhideWhenUsed="0" w:uiPriority="99" w:semiHidden="0" w:name="List 2"/>
    <w:lsdException w:unhideWhenUsed="0" w:uiPriority="99" w:semiHidden="0" w:name="List 3"/>
    <w:lsdException w:unhideWhenUsed="0" w:uiPriority="99" w:semiHidden="0" w:name="List 4"/>
    <w:lsdException w:unhideWhenUsed="0" w:uiPriority="99" w:semiHidden="0" w:name="List 5"/>
    <w:lsdException w:unhideWhenUsed="0" w:uiPriority="99" w:semiHidden="0" w:name="List Bullet 2"/>
    <w:lsdException w:unhideWhenUsed="0" w:uiPriority="99" w:semiHidden="0" w:name="List Bullet 3"/>
    <w:lsdException w:unhideWhenUsed="0" w:uiPriority="99" w:semiHidden="0" w:name="List Bullet 4"/>
    <w:lsdException w:unhideWhenUsed="0" w:uiPriority="99" w:semiHidden="0" w:name="List Bullet 5"/>
    <w:lsdException w:unhideWhenUsed="0" w:uiPriority="99" w:semiHidden="0" w:name="List Number 2"/>
    <w:lsdException w:unhideWhenUsed="0" w:uiPriority="99" w:semiHidden="0" w:name="List Number 3"/>
    <w:lsdException w:unhideWhenUsed="0" w:uiPriority="99" w:semiHidden="0" w:name="List Number 4"/>
    <w:lsdException w:unhideWhenUsed="0" w:uiPriority="99" w:semiHidden="0" w:name="List Number 5"/>
    <w:lsdException w:unhideWhenUsed="0" w:uiPriority="99" w:semiHidden="0" w:name="Title"/>
    <w:lsdException w:unhideWhenUsed="0" w:uiPriority="99" w:semiHidden="0" w:name="Closing"/>
    <w:lsdException w:unhideWhenUsed="0" w:uiPriority="99" w:semiHidden="0" w:name="Signature"/>
    <w:lsdException w:qFormat="1" w:unhideWhenUsed="0" w:uiPriority="0" w:name="Default Paragraph Font"/>
    <w:lsdException w:qFormat="1" w:uiPriority="99" w:name="Body Text"/>
    <w:lsdException w:unhideWhenUsed="0" w:uiPriority="99" w:semiHidden="0" w:name="Body Text Indent"/>
    <w:lsdException w:unhideWhenUsed="0" w:uiPriority="99" w:semiHidden="0" w:name="List Continue"/>
    <w:lsdException w:unhideWhenUsed="0" w:uiPriority="99" w:semiHidden="0" w:name="List Continue 2"/>
    <w:lsdException w:unhideWhenUsed="0" w:uiPriority="99" w:semiHidden="0" w:name="List Continue 3"/>
    <w:lsdException w:unhideWhenUsed="0" w:uiPriority="99" w:semiHidden="0" w:name="List Continue 4"/>
    <w:lsdException w:unhideWhenUsed="0" w:uiPriority="99" w:semiHidden="0" w:name="List Continue 5"/>
    <w:lsdException w:unhideWhenUsed="0" w:uiPriority="99" w:semiHidden="0" w:name="Message Header"/>
    <w:lsdException w:unhideWhenUsed="0" w:uiPriority="99" w:semiHidden="0" w:name="Subtitle"/>
    <w:lsdException w:unhideWhenUsed="0" w:uiPriority="99" w:semiHidden="0" w:name="Salutation"/>
    <w:lsdException w:unhideWhenUsed="0" w:uiPriority="99" w:semiHidden="0" w:name="Date"/>
    <w:lsdException w:unhideWhenUsed="0" w:uiPriority="99" w:semiHidden="0" w:name="Body Text First Indent"/>
    <w:lsdException w:unhideWhenUsed="0" w:uiPriority="99" w:semiHidden="0" w:name="Body Text First Indent 2"/>
    <w:lsdException w:unhideWhenUsed="0" w:uiPriority="99" w:semiHidden="0" w:name="Note Heading"/>
    <w:lsdException w:unhideWhenUsed="0" w:uiPriority="99" w:semiHidden="0" w:name="Body Text 2"/>
    <w:lsdException w:unhideWhenUsed="0" w:uiPriority="99" w:semiHidden="0" w:name="Body Text 3"/>
    <w:lsdException w:unhideWhenUsed="0" w:uiPriority="99" w:semiHidden="0" w:name="Body Text Indent 2"/>
    <w:lsdException w:unhideWhenUsed="0" w:uiPriority="99" w:semiHidden="0" w:name="Body Text Indent 3"/>
    <w:lsdException w:unhideWhenUsed="0" w:uiPriority="99" w:semiHidden="0" w:name="Block Text"/>
    <w:lsdException w:unhideWhenUsed="0" w:uiPriority="99" w:semiHidden="0" w:name="Hyperlink"/>
    <w:lsdException w:unhideWhenUsed="0" w:uiPriority="99" w:semiHidden="0" w:name="FollowedHyperlink"/>
    <w:lsdException w:qFormat="1" w:unhideWhenUsed="0" w:uiPriority="0" w:semiHidden="0" w:name="Strong"/>
    <w:lsdException w:unhideWhenUsed="0" w:uiPriority="99" w:semiHidden="0" w:name="Emphasis"/>
    <w:lsdException w:unhideWhenUsed="0" w:uiPriority="99" w:semiHidden="0" w:name="Document Map"/>
    <w:lsdException w:qFormat="1" w:unhideWhenUsed="0" w:uiPriority="0" w:semiHidden="0" w:name="Plain Text"/>
    <w:lsdException w:unhideWhenUsed="0" w:uiPriority="99" w:semiHidden="0" w:name="E-mail Signature"/>
    <w:lsdException w:qFormat="1" w:unhideWhenUsed="0" w:uiPriority="0" w:semiHidden="0" w:name="Normal (Web)"/>
    <w:lsdException w:unhideWhenUsed="0" w:uiPriority="99" w:semiHidden="0" w:name="HTML Acronym"/>
    <w:lsdException w:unhideWhenUsed="0" w:uiPriority="99" w:semiHidden="0" w:name="HTML Address"/>
    <w:lsdException w:unhideWhenUsed="0" w:uiPriority="99" w:semiHidden="0" w:name="HTML Cite"/>
    <w:lsdException w:unhideWhenUsed="0" w:uiPriority="99" w:semiHidden="0" w:name="HTML Code"/>
    <w:lsdException w:unhideWhenUsed="0" w:uiPriority="99" w:semiHidden="0" w:name="HTML Definition"/>
    <w:lsdException w:unhideWhenUsed="0" w:uiPriority="99" w:semiHidden="0" w:name="HTML Keyboard"/>
    <w:lsdException w:qFormat="1" w:unhideWhenUsed="0" w:uiPriority="0" w:semiHidden="0" w:name="HTML Preformatted"/>
    <w:lsdException w:unhideWhenUsed="0" w:uiPriority="99" w:semiHidden="0" w:name="HTML Sample"/>
    <w:lsdException w:unhideWhenUsed="0" w:uiPriority="99" w:semiHidden="0" w:name="HTML Typewriter"/>
    <w:lsdException w:unhideWhenUsed="0" w:uiPriority="99" w:semiHidden="0" w:name="HTML Variable"/>
    <w:lsdException w:qFormat="1" w:unhideWhenUsed="0" w:uiPriority="0" w:name="Normal Table"/>
    <w:lsdException w:unhideWhenUsed="0" w:uiPriority="99" w:semiHidden="0" w:name="annotation subject"/>
    <w:lsdException w:unhideWhenUsed="0" w:uiPriority="99" w:semiHidden="0" w:name="Table Simple 1"/>
    <w:lsdException w:unhideWhenUsed="0" w:uiPriority="99" w:semiHidden="0" w:name="Table Simple 2"/>
    <w:lsdException w:unhideWhenUsed="0" w:uiPriority="99" w:semiHidden="0" w:name="Table Simple 3"/>
    <w:lsdException w:unhideWhenUsed="0" w:uiPriority="99" w:semiHidden="0" w:name="Table Classic 1"/>
    <w:lsdException w:unhideWhenUsed="0" w:uiPriority="99" w:semiHidden="0" w:name="Table Classic 2"/>
    <w:lsdException w:unhideWhenUsed="0" w:uiPriority="99" w:semiHidden="0" w:name="Table Classic 3"/>
    <w:lsdException w:unhideWhenUsed="0" w:uiPriority="99" w:semiHidden="0" w:name="Table Classic 4"/>
    <w:lsdException w:unhideWhenUsed="0" w:uiPriority="99" w:semiHidden="0" w:name="Table Colorful 1"/>
    <w:lsdException w:unhideWhenUsed="0" w:uiPriority="99" w:semiHidden="0" w:name="Table Colorful 2"/>
    <w:lsdException w:unhideWhenUsed="0" w:uiPriority="99" w:semiHidden="0" w:name="Table Colorful 3"/>
    <w:lsdException w:unhideWhenUsed="0" w:uiPriority="99" w:semiHidden="0" w:name="Table Columns 1"/>
    <w:lsdException w:unhideWhenUsed="0" w:uiPriority="99" w:semiHidden="0" w:name="Table Columns 2"/>
    <w:lsdException w:unhideWhenUsed="0" w:uiPriority="99" w:semiHidden="0" w:name="Table Columns 3"/>
    <w:lsdException w:unhideWhenUsed="0" w:uiPriority="99" w:semiHidden="0" w:name="Table Columns 4"/>
    <w:lsdException w:unhideWhenUsed="0" w:uiPriority="99" w:semiHidden="0" w:name="Table Columns 5"/>
    <w:lsdException w:unhideWhenUsed="0" w:uiPriority="99" w:semiHidden="0" w:name="Table Grid 1"/>
    <w:lsdException w:unhideWhenUsed="0" w:uiPriority="99" w:semiHidden="0" w:name="Table Grid 2"/>
    <w:lsdException w:unhideWhenUsed="0" w:uiPriority="99" w:semiHidden="0" w:name="Table Grid 3"/>
    <w:lsdException w:unhideWhenUsed="0" w:uiPriority="99" w:semiHidden="0" w:name="Table Grid 4"/>
    <w:lsdException w:unhideWhenUsed="0" w:uiPriority="99" w:semiHidden="0" w:name="Table Grid 5"/>
    <w:lsdException w:unhideWhenUsed="0" w:uiPriority="99" w:semiHidden="0" w:name="Table Grid 6"/>
    <w:lsdException w:unhideWhenUsed="0" w:uiPriority="99" w:semiHidden="0" w:name="Table Grid 7"/>
    <w:lsdException w:unhideWhenUsed="0" w:uiPriority="99" w:semiHidden="0" w:name="Table Grid 8"/>
    <w:lsdException w:unhideWhenUsed="0" w:uiPriority="99" w:semiHidden="0" w:name="Table List 1"/>
    <w:lsdException w:unhideWhenUsed="0" w:uiPriority="99" w:semiHidden="0" w:name="Table List 2"/>
    <w:lsdException w:unhideWhenUsed="0" w:uiPriority="99" w:semiHidden="0" w:name="Table List 3"/>
    <w:lsdException w:unhideWhenUsed="0" w:uiPriority="99" w:semiHidden="0" w:name="Table List 4"/>
    <w:lsdException w:unhideWhenUsed="0" w:uiPriority="99" w:semiHidden="0" w:name="Table List 5"/>
    <w:lsdException w:unhideWhenUsed="0" w:uiPriority="99" w:semiHidden="0" w:name="Table List 6"/>
    <w:lsdException w:unhideWhenUsed="0" w:uiPriority="99" w:semiHidden="0" w:name="Table List 7"/>
    <w:lsdException w:unhideWhenUsed="0" w:uiPriority="99" w:semiHidden="0" w:name="Table List 8"/>
    <w:lsdException w:unhideWhenUsed="0" w:uiPriority="99" w:semiHidden="0" w:name="Table 3D effects 1"/>
    <w:lsdException w:unhideWhenUsed="0" w:uiPriority="99" w:semiHidden="0" w:name="Table 3D effects 2"/>
    <w:lsdException w:unhideWhenUsed="0" w:uiPriority="99" w:semiHidden="0" w:name="Table 3D effects 3"/>
    <w:lsdException w:unhideWhenUsed="0" w:uiPriority="99" w:semiHidden="0" w:name="Table Contemporary"/>
    <w:lsdException w:unhideWhenUsed="0" w:uiPriority="99" w:semiHidden="0" w:name="Table Elegant"/>
    <w:lsdException w:unhideWhenUsed="0" w:uiPriority="99" w:semiHidden="0" w:name="Table Professional"/>
    <w:lsdException w:unhideWhenUsed="0" w:uiPriority="99" w:semiHidden="0" w:name="Table Subtle 1"/>
    <w:lsdException w:unhideWhenUsed="0" w:uiPriority="99" w:semiHidden="0" w:name="Table Subtle 2"/>
    <w:lsdException w:unhideWhenUsed="0" w:uiPriority="99" w:semiHidden="0" w:name="Table Web 1"/>
    <w:lsdException w:unhideWhenUsed="0" w:uiPriority="99" w:semiHidden="0" w:name="Table Web 2"/>
    <w:lsdException w:unhideWhenUsed="0" w:uiPriority="99" w:semiHidden="0" w:name="Table Web 3"/>
    <w:lsdException w:unhideWhenUsed="0" w:uiPriority="99" w:semiHidden="0" w:name="Balloon Text"/>
    <w:lsdException w:qFormat="1" w:unhideWhenUsed="0" w:uiPriority="0"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adjustRightInd w:val="0"/>
      <w:spacing w:before="40" w:after="40" w:line="360" w:lineRule="auto"/>
      <w:outlineLvl w:val="2"/>
    </w:pPr>
    <w:rPr>
      <w:rFonts w:ascii="宋体" w:hAnsi="宋体"/>
      <w:b/>
      <w:kern w:val="0"/>
      <w:sz w:val="28"/>
      <w:szCs w:val="20"/>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5">
    <w:name w:val="Body Text"/>
    <w:basedOn w:val="1"/>
    <w:next w:val="1"/>
    <w:semiHidden/>
    <w:unhideWhenUsed/>
    <w:qFormat/>
    <w:uiPriority w:val="99"/>
    <w:pPr>
      <w:keepNext w:val="0"/>
      <w:keepLines w:val="0"/>
      <w:widowControl w:val="0"/>
      <w:suppressLineNumbers w:val="0"/>
      <w:spacing w:before="0" w:beforeAutospacing="0" w:after="120" w:afterAutospacing="0"/>
      <w:ind w:left="0" w:right="0"/>
      <w:jc w:val="both"/>
    </w:pPr>
    <w:rPr>
      <w:rFonts w:hint="default" w:ascii="Calibri" w:hAnsi="Calibri" w:eastAsia="宋体" w:cs="宋体"/>
      <w:kern w:val="2"/>
      <w:sz w:val="21"/>
      <w:szCs w:val="24"/>
      <w:lang w:val="en-US" w:eastAsia="zh-CN" w:bidi="ar"/>
    </w:rPr>
  </w:style>
  <w:style w:type="paragraph" w:styleId="6">
    <w:name w:val="Plain Text"/>
    <w:basedOn w:val="1"/>
    <w:qFormat/>
    <w:uiPriority w:val="0"/>
    <w:rPr>
      <w:rFonts w:ascii="宋体" w:hAnsi="Courier New" w:cs="Courier New"/>
      <w:szCs w:val="21"/>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b/>
    </w:rPr>
  </w:style>
  <w:style w:type="paragraph" w:customStyle="1" w:styleId="15">
    <w:name w:val="null3"/>
    <w:qFormat/>
    <w:uiPriority w:val="0"/>
    <w:rPr>
      <w:rFonts w:hint="eastAsia" w:ascii="Calibri" w:hAnsi="Calibri" w:eastAsia="宋体" w:cs="Times New Roman"/>
      <w:lang w:val="en-US" w:eastAsia="zh-Hans" w:bidi="ar-SA"/>
    </w:rPr>
  </w:style>
  <w:style w:type="paragraph" w:styleId="16">
    <w:name w:val="List Paragraph"/>
    <w:basedOn w:val="1"/>
    <w:qFormat/>
    <w:uiPriority w:val="99"/>
    <w:pPr>
      <w:adjustRightInd w:val="0"/>
      <w:snapToGrid w:val="0"/>
      <w:spacing w:line="360" w:lineRule="auto"/>
      <w:ind w:firstLine="200" w:firstLineChars="200"/>
    </w:pPr>
    <w:rPr>
      <w:rFonts w:ascii="Calibri" w:hAnsi="Calibri" w:eastAsia="宋体" w:cs="Times New Roman"/>
      <w:sz w:val="24"/>
    </w:rPr>
  </w:style>
  <w:style w:type="paragraph" w:customStyle="1" w:styleId="17">
    <w:name w:val="条文1 Char"/>
    <w:basedOn w:val="1"/>
    <w:qFormat/>
    <w:uiPriority w:val="0"/>
    <w:pPr>
      <w:tabs>
        <w:tab w:val="left" w:pos="420"/>
        <w:tab w:val="left" w:pos="720"/>
      </w:tabs>
      <w:spacing w:line="360" w:lineRule="auto"/>
      <w:ind w:left="420" w:hanging="420"/>
    </w:pPr>
    <w:rPr>
      <w:rFonts w:hint="eastAsia" w:ascii="MS UI Gothic" w:hAnsi="MS UI Gothic"/>
      <w:bCs/>
      <w:kern w:val="44"/>
      <w:sz w:val="24"/>
      <w:szCs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rotWithShape="0">
          <a:gsLst>
            <a:gs pos="0">
              <a:schemeClr val="phClr">
                <a:lumOff val="17500"/>
              </a:schemeClr>
            </a:gs>
            <a:gs pos="100000">
              <a:schemeClr val="phClr"/>
            </a:gs>
          </a:gsLst>
          <a:lin ang="2700000" scaled="0"/>
        </a:gradFill>
        <a:gradFill rotWithShape="0">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3367</Words>
  <Characters>3687</Characters>
  <Lines>0</Lines>
  <Paragraphs>0</Paragraphs>
  <TotalTime>6</TotalTime>
  <ScaleCrop>false</ScaleCrop>
  <LinksUpToDate>false</LinksUpToDate>
  <CharactersWithSpaces>3717</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2025-12-23T15:30:00Z</dcterms:created>
  <dc:creator>Windows</dc:creator>
  <cp:lastModifiedBy>周志佳</cp:lastModifiedBy>
  <dcterms:modified xsi:type="dcterms:W3CDTF">2026-06-15T08:34:48Z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KSOTemplateDocerSaveRecord">
    <vt:lpwstr>eyJoZGlkIjoiNTY1NmQzMmYyZmQzZjEzYzVlNDhmMDNjZTQ5MGI0ODAiLCJ1c2VySWQiOiI3MTIwODMyMDEifQ==</vt:lpwstr>
  </property>
  <property fmtid="{D5CDD505-2E9C-101B-9397-08002B2CF9AE}" pid="4" name="ICV">
    <vt:lpwstr>F6156C1FB73845D8B1A132A2B2A71708_13</vt:lpwstr>
  </property>
</Properties>
</file>