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bookmarkStart w:id="0" w:name="_Toc28489480"/>
      <w:bookmarkStart w:id="1" w:name="_Toc14450822"/>
      <w:bookmarkStart w:id="2" w:name="OLE_LINK2"/>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pStyle w:val="2"/>
        <w:pageBreakBefore w:val="0"/>
        <w:kinsoku/>
        <w:overflowPunct/>
        <w:topLinePunct w:val="0"/>
        <w:bidi w:val="0"/>
        <w:spacing w:before="0" w:line="560" w:lineRule="exact"/>
        <w:rPr>
          <w:rFonts w:hint="default" w:ascii="Times New Roman" w:hAnsi="Times New Roman" w:cs="Times New Roman"/>
          <w:lang w:val="en-US" w:eastAsia="zh-CN"/>
        </w:rPr>
      </w:pPr>
    </w:p>
    <w:p>
      <w:pPr>
        <w:spacing w:line="360" w:lineRule="auto"/>
        <w:jc w:val="center"/>
        <w:rPr>
          <w:rFonts w:hint="default" w:ascii="宋体" w:hAnsi="宋体" w:eastAsia="宋体"/>
          <w:color w:val="auto"/>
          <w:highlight w:val="none"/>
          <w:lang w:val="en-US" w:eastAsia="zh-CN"/>
        </w:rPr>
      </w:pPr>
      <w:r>
        <w:rPr>
          <w:rFonts w:hint="eastAsia" w:ascii="Times New Roman" w:hAnsi="Times New Roman" w:eastAsia="方正小标宋简体" w:cs="Times New Roman"/>
          <w:b w:val="0"/>
          <w:bCs w:val="0"/>
          <w:color w:val="auto"/>
          <w:sz w:val="44"/>
          <w:szCs w:val="44"/>
          <w:highlight w:val="none"/>
          <w:lang w:val="en-US" w:eastAsia="zh-CN"/>
        </w:rPr>
        <w:t>采购人需求书</w:t>
      </w:r>
    </w:p>
    <w:p>
      <w:pPr>
        <w:autoSpaceDE w:val="0"/>
        <w:autoSpaceDN w:val="0"/>
        <w:adjustRightInd w:val="0"/>
        <w:snapToGrid w:val="0"/>
        <w:spacing w:line="360" w:lineRule="auto"/>
        <w:jc w:val="center"/>
        <w:outlineLvl w:val="0"/>
        <w:rPr>
          <w:rFonts w:ascii="宋体" w:hAnsi="宋体"/>
          <w:b/>
          <w:bCs/>
          <w:color w:val="auto"/>
          <w:sz w:val="28"/>
          <w:szCs w:val="28"/>
          <w:highlight w:val="none"/>
        </w:rPr>
      </w:pPr>
      <w:bookmarkStart w:id="3" w:name="_Toc320515056"/>
    </w:p>
    <w:bookmarkEnd w:id="0"/>
    <w:bookmarkEnd w:id="1"/>
    <w:bookmarkEnd w:id="3"/>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jc w:val="left"/>
        <w:textAlignment w:val="auto"/>
        <w:rPr>
          <w:rFonts w:hint="eastAsia" w:ascii="宋体" w:hAnsi="宋体" w:eastAsia="宋体"/>
          <w:b/>
          <w:bCs/>
          <w:color w:val="auto"/>
          <w:highlight w:val="none"/>
          <w:lang w:eastAsia="zh-CN"/>
        </w:rPr>
      </w:pPr>
      <w:r>
        <w:rPr>
          <w:rFonts w:hint="eastAsia" w:ascii="宋体" w:hAnsi="宋体"/>
          <w:b/>
          <w:bCs/>
          <w:color w:val="auto"/>
          <w:highlight w:val="none"/>
        </w:rPr>
        <w:t>一、项目</w:t>
      </w:r>
      <w:r>
        <w:rPr>
          <w:rFonts w:hint="eastAsia" w:ascii="宋体" w:hAnsi="宋体"/>
          <w:b/>
          <w:bCs/>
          <w:color w:val="auto"/>
          <w:highlight w:val="none"/>
          <w:lang w:val="en-US" w:eastAsia="zh-CN"/>
        </w:rPr>
        <w:t>概况</w:t>
      </w:r>
    </w:p>
    <w:p>
      <w:pPr>
        <w:spacing w:line="560" w:lineRule="exact"/>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项目名称：</w:t>
      </w:r>
      <w:r>
        <w:rPr>
          <w:rFonts w:hint="eastAsia" w:ascii="宋体" w:hAnsi="宋体" w:cs="宋体"/>
          <w:color w:val="auto"/>
          <w:sz w:val="21"/>
          <w:szCs w:val="21"/>
          <w:highlight w:val="none"/>
          <w:shd w:val="clear" w:color="auto" w:fill="FFFFFF"/>
          <w:lang w:val="en-US" w:eastAsia="zh-CN"/>
        </w:rPr>
        <w:t>广州市生态环境局越秀分局2026年</w:t>
      </w:r>
      <w:r>
        <w:rPr>
          <w:rFonts w:hint="eastAsia" w:ascii="宋体" w:hAnsi="宋体" w:eastAsia="宋体" w:cs="宋体"/>
          <w:color w:val="auto"/>
          <w:sz w:val="21"/>
          <w:szCs w:val="21"/>
          <w:highlight w:val="none"/>
          <w:shd w:val="clear" w:color="auto" w:fill="FFFFFF"/>
          <w:lang w:eastAsia="zh-CN"/>
        </w:rPr>
        <w:t>物业管理服务项目</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广州市生态环境局越秀环境监测站2026年物业管理服务项目</w:t>
      </w:r>
    </w:p>
    <w:p>
      <w:pPr>
        <w:spacing w:line="56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预算金额（最高限价）：</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24"/>
        <w:gridCol w:w="2485"/>
        <w:gridCol w:w="1195"/>
        <w:gridCol w:w="1500"/>
        <w:gridCol w:w="1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品目号</w:t>
            </w:r>
          </w:p>
        </w:tc>
        <w:tc>
          <w:tcPr>
            <w:tcW w:w="248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采购标的</w:t>
            </w:r>
          </w:p>
        </w:tc>
        <w:tc>
          <w:tcPr>
            <w:tcW w:w="11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品目预算(元)</w:t>
            </w:r>
          </w:p>
        </w:tc>
        <w:tc>
          <w:tcPr>
            <w:tcW w:w="162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lang w:val="en-US" w:eastAsia="zh-CN"/>
              </w:rPr>
              <w:t>总价</w:t>
            </w:r>
            <w:r>
              <w:rPr>
                <w:rFonts w:hint="eastAsia" w:ascii="宋体" w:hAnsi="宋体" w:cs="宋体"/>
                <w:bCs/>
                <w:color w:val="auto"/>
                <w:szCs w:val="20"/>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1-1</w:t>
            </w:r>
          </w:p>
        </w:tc>
        <w:tc>
          <w:tcPr>
            <w:tcW w:w="248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越秀</w:t>
            </w:r>
            <w:r>
              <w:rPr>
                <w:rFonts w:hint="eastAsia" w:ascii="宋体" w:hAnsi="宋体" w:eastAsia="宋体" w:cs="宋体"/>
                <w:bCs/>
                <w:color w:val="auto"/>
                <w:szCs w:val="20"/>
                <w:highlight w:val="none"/>
                <w:lang w:eastAsia="zh-CN"/>
              </w:rPr>
              <w:t>分局机关办公场所的安全保卫、消防管理、卫生保洁等物业管理及服务</w:t>
            </w:r>
          </w:p>
        </w:tc>
        <w:tc>
          <w:tcPr>
            <w:tcW w:w="11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148,062.50</w:t>
            </w:r>
          </w:p>
        </w:tc>
        <w:tc>
          <w:tcPr>
            <w:tcW w:w="162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148,062.50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val="en-US" w:eastAsia="zh-CN"/>
              </w:rPr>
            </w:pPr>
            <w:r>
              <w:rPr>
                <w:rFonts w:hint="eastAsia" w:ascii="宋体" w:hAnsi="宋体" w:cs="宋体"/>
                <w:bCs/>
                <w:color w:val="auto"/>
                <w:szCs w:val="20"/>
                <w:highlight w:val="none"/>
              </w:rPr>
              <w:t>1-</w:t>
            </w:r>
            <w:r>
              <w:rPr>
                <w:rFonts w:hint="eastAsia" w:ascii="宋体" w:hAnsi="宋体" w:cs="宋体"/>
                <w:bCs/>
                <w:color w:val="auto"/>
                <w:szCs w:val="20"/>
                <w:highlight w:val="none"/>
                <w:lang w:val="en-US" w:eastAsia="zh-CN"/>
              </w:rPr>
              <w:t>2</w:t>
            </w:r>
          </w:p>
        </w:tc>
        <w:tc>
          <w:tcPr>
            <w:tcW w:w="248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越秀环境</w:t>
            </w:r>
            <w:r>
              <w:rPr>
                <w:rFonts w:hint="eastAsia" w:ascii="宋体" w:hAnsi="宋体" w:eastAsia="宋体" w:cs="宋体"/>
                <w:bCs/>
                <w:color w:val="auto"/>
                <w:szCs w:val="20"/>
                <w:highlight w:val="none"/>
                <w:lang w:eastAsia="zh-CN"/>
              </w:rPr>
              <w:t>监测站办公场所的安全保卫、消防管理、卫生保洁等物业管理及服务</w:t>
            </w:r>
          </w:p>
        </w:tc>
        <w:tc>
          <w:tcPr>
            <w:tcW w:w="11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rPr>
            </w:pPr>
            <w:r>
              <w:rPr>
                <w:rFonts w:hint="eastAsia" w:ascii="宋体" w:hAnsi="宋体" w:cs="宋体"/>
                <w:bCs/>
                <w:color w:val="auto"/>
                <w:szCs w:val="20"/>
                <w:highlight w:val="none"/>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default" w:ascii="宋体" w:hAnsi="宋体" w:cs="宋体"/>
                <w:bCs/>
                <w:color w:val="auto"/>
                <w:szCs w:val="20"/>
                <w:highlight w:val="none"/>
                <w:lang w:val="en-US" w:eastAsia="zh-CN"/>
              </w:rPr>
            </w:pPr>
            <w:r>
              <w:rPr>
                <w:rFonts w:hint="eastAsia" w:ascii="宋体" w:hAnsi="宋体" w:cs="宋体"/>
                <w:bCs/>
                <w:color w:val="auto"/>
                <w:szCs w:val="20"/>
                <w:highlight w:val="none"/>
                <w:lang w:val="en-US" w:eastAsia="zh-CN"/>
              </w:rPr>
              <w:t>127,553.60</w:t>
            </w:r>
          </w:p>
        </w:tc>
        <w:tc>
          <w:tcPr>
            <w:tcW w:w="162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tabs>
                <w:tab w:val="left" w:pos="840"/>
                <w:tab w:val="left" w:pos="945"/>
              </w:tabs>
              <w:snapToGrid w:val="0"/>
              <w:spacing w:line="360" w:lineRule="auto"/>
              <w:jc w:val="center"/>
              <w:rPr>
                <w:rFonts w:hint="eastAsia" w:ascii="宋体" w:hAnsi="宋体" w:cs="宋体"/>
                <w:bCs/>
                <w:color w:val="auto"/>
                <w:szCs w:val="20"/>
                <w:highlight w:val="none"/>
                <w:lang w:eastAsia="zh-CN"/>
              </w:rPr>
            </w:pPr>
            <w:r>
              <w:rPr>
                <w:rFonts w:hint="eastAsia" w:ascii="宋体" w:hAnsi="宋体" w:cs="宋体"/>
                <w:bCs/>
                <w:color w:val="auto"/>
                <w:szCs w:val="20"/>
                <w:highlight w:val="none"/>
                <w:lang w:val="en-US" w:eastAsia="zh-CN"/>
              </w:rPr>
              <w:t>127,553.60</w:t>
            </w:r>
          </w:p>
        </w:tc>
      </w:tr>
    </w:tbl>
    <w:p>
      <w:pPr>
        <w:spacing w:line="56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eastAsia="zh-CN"/>
        </w:rPr>
        <w:t>合同履行期限</w:t>
      </w:r>
      <w:r>
        <w:rPr>
          <w:rFonts w:hint="eastAsia" w:ascii="宋体" w:hAnsi="宋体" w:eastAsia="宋体" w:cs="宋体"/>
          <w:color w:val="auto"/>
          <w:sz w:val="21"/>
          <w:szCs w:val="21"/>
          <w:highlight w:val="none"/>
          <w:shd w:val="clear" w:color="auto" w:fill="FFFFFF"/>
        </w:rPr>
        <w:t>：</w:t>
      </w:r>
    </w:p>
    <w:p>
      <w:pPr>
        <w:spacing w:line="560" w:lineRule="exact"/>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委托服务期限</w:t>
      </w:r>
      <w:r>
        <w:rPr>
          <w:rFonts w:hint="eastAsia" w:ascii="宋体" w:hAnsi="宋体" w:cs="宋体"/>
          <w:color w:val="auto"/>
          <w:sz w:val="21"/>
          <w:szCs w:val="21"/>
          <w:highlight w:val="none"/>
          <w:shd w:val="clear" w:color="auto" w:fill="FFFFFF"/>
          <w:lang w:val="en-US" w:eastAsia="zh-CN"/>
        </w:rPr>
        <w:t>：2026年1月1日</w:t>
      </w:r>
      <w:r>
        <w:rPr>
          <w:rFonts w:hint="eastAsia" w:ascii="宋体" w:hAnsi="宋体" w:eastAsia="宋体" w:cs="宋体"/>
          <w:color w:val="auto"/>
          <w:sz w:val="21"/>
          <w:szCs w:val="21"/>
          <w:highlight w:val="none"/>
          <w:shd w:val="clear" w:color="auto" w:fill="FFFFFF"/>
          <w:lang w:val="en-US" w:eastAsia="zh-CN"/>
        </w:rPr>
        <w:t>至202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val="en-US" w:eastAsia="zh-CN"/>
        </w:rPr>
        <w:t>年12月31日止。</w:t>
      </w:r>
    </w:p>
    <w:p>
      <w:pPr>
        <w:spacing w:line="56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报价人</w:t>
      </w:r>
      <w:r>
        <w:rPr>
          <w:rFonts w:hint="eastAsia" w:ascii="宋体" w:hAnsi="宋体" w:eastAsia="宋体" w:cs="宋体"/>
          <w:color w:val="auto"/>
          <w:sz w:val="21"/>
          <w:szCs w:val="21"/>
          <w:highlight w:val="none"/>
          <w:shd w:val="clear" w:color="auto" w:fill="FFFFFF"/>
        </w:rPr>
        <w:t xml:space="preserve">须对本项目服务进行整体响应，任何只对其中一部分内容进行的响应都被视为无效投标。 </w:t>
      </w:r>
    </w:p>
    <w:p>
      <w:pPr>
        <w:spacing w:line="560" w:lineRule="exact"/>
        <w:ind w:firstLine="422" w:firstLineChars="200"/>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二、总体要求</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中选人需依照《劳动法》、《劳动合同法》等规定为聘用人员办理各种用工手续，购买社会劳动保险（含养老、失业、工伤、医疗保险等）。</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eastAsia="zh-CN"/>
        </w:rPr>
        <w:t>在服务期内，中选人安排在采购人单位工作的所有工作人员都须遵守国家的计划生育政策和做好工作人员所需要的安全教育及安全措施，保证工作人员的安全。所聘员工，发生的劳资纠纷由中选人与其所聘员工自行依法解决。</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在处理特殊事件和紧急、突发事故时，采购人对中选人的人员有直接指挥权。</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中选人对所录用人员要严格政审，保证录用人员没有被劳动教养、刑事犯罪记录和行政处罚记录，并具有相应的上岗资格证。</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中选人的物业服务人员要政治思想可靠、身体健康、业务技术强、五官端正形象好、勤奋工作、责任心强、文明礼貌、言行规范、服务意识强，严格遵守国家法律法规以及采购人的各项规章制度，特别是遵守保密制度。</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中选人在做好工作的同时，有责任向采购人提供合理化建议，以提高管理效率和管理质量。</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中选人的工作人员具有快速及时紧急事件处理能力，具备利用自身资源满足临时应急抽调含安全保卫、清洁服务等人员在30分钟内到达现场做好应急保障。</w:t>
      </w:r>
    </w:p>
    <w:p>
      <w:pPr>
        <w:spacing w:line="56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服务期满后，中选人须向采购人移交接管时采购人提供的管理用房、房屋及设备设施等全部档案资料及属于采购人的其他物品，中选人不得将中标管理服务事项整体转让或分解转让给任何第三人或单位，不得将重要专项业务承包给个人。</w:t>
      </w:r>
    </w:p>
    <w:p>
      <w:pPr>
        <w:spacing w:line="560" w:lineRule="exact"/>
        <w:ind w:firstLine="422" w:firstLineChars="200"/>
        <w:rPr>
          <w:b/>
          <w:color w:val="auto"/>
          <w:sz w:val="21"/>
          <w:highlight w:val="none"/>
        </w:rPr>
      </w:pPr>
      <w:r>
        <w:rPr>
          <w:rFonts w:hint="eastAsia" w:ascii="宋体" w:hAnsi="宋体" w:eastAsia="宋体" w:cs="Times New Roman"/>
          <w:b/>
          <w:bCs/>
          <w:color w:val="auto"/>
          <w:highlight w:val="none"/>
          <w:lang w:val="en-US" w:eastAsia="zh-CN"/>
        </w:rPr>
        <w:t>三、</w:t>
      </w:r>
      <w:r>
        <w:rPr>
          <w:b/>
          <w:color w:val="auto"/>
          <w:sz w:val="21"/>
          <w:highlight w:val="none"/>
        </w:rPr>
        <w:t>基本要求</w:t>
      </w:r>
    </w:p>
    <w:p>
      <w:pPr>
        <w:spacing w:line="560" w:lineRule="exact"/>
        <w:ind w:firstLine="422"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lang w:val="en-US" w:eastAsia="zh-CN"/>
        </w:rPr>
        <w:t>一）</w:t>
      </w:r>
      <w:r>
        <w:rPr>
          <w:rFonts w:hint="eastAsia" w:ascii="宋体" w:hAnsi="宋体" w:eastAsia="宋体" w:cs="宋体"/>
          <w:b/>
          <w:bCs/>
          <w:color w:val="auto"/>
          <w:sz w:val="21"/>
          <w:szCs w:val="21"/>
          <w:highlight w:val="none"/>
          <w:shd w:val="clear" w:color="auto" w:fill="FFFFFF"/>
          <w:lang w:eastAsia="zh-CN"/>
        </w:rPr>
        <w:t>安全保卫管理的内容及要求</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分局机关办公场所24小时值班，监测站办公场所</w:t>
      </w:r>
      <w:r>
        <w:rPr>
          <w:rFonts w:hint="eastAsia" w:ascii="宋体" w:hAnsi="宋体" w:eastAsia="宋体" w:cs="宋体"/>
          <w:color w:val="auto"/>
          <w:sz w:val="21"/>
          <w:szCs w:val="21"/>
          <w:highlight w:val="none"/>
          <w:shd w:val="clear" w:color="auto" w:fill="FFFFFF"/>
          <w:lang w:val="en-US" w:eastAsia="zh-CN"/>
        </w:rPr>
        <w:t>18:00至09:00值班。</w:t>
      </w:r>
      <w:r>
        <w:rPr>
          <w:rFonts w:hint="eastAsia" w:ascii="宋体" w:hAnsi="宋体" w:eastAsia="宋体" w:cs="宋体"/>
          <w:color w:val="auto"/>
          <w:sz w:val="21"/>
          <w:szCs w:val="21"/>
          <w:highlight w:val="none"/>
          <w:shd w:val="clear" w:color="auto" w:fill="FFFFFF"/>
          <w:lang w:eastAsia="zh-CN"/>
        </w:rPr>
        <w:t>负责办公场所的安全、保卫和警戒。包括：安全巡视检查，交通与车辆停放，维护公共区域的正常工作秩序，保证办公场所区域内财产、物资的绝对安全。</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eastAsia="zh-CN"/>
        </w:rPr>
        <w:t>积极组织演练。在事故发生的第一时间通知办公场所管理人员，并对各类事故进行紧急救护处理。</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eastAsia="zh-CN"/>
        </w:rPr>
        <w:t>根据办公场所要求对出入办公场所的物品、人员、车辆进行检查、验证，并做好登记。</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eastAsia="zh-CN"/>
        </w:rPr>
        <w:t>负责办公场所秩序维护，控制噪音，制止喧闹现象，禁止闲杂人员在办公场所随意流动。正确疏导，礼貌劝说，确保秩序井然有序。巡逻中遇办公场所工作人员提出工作方面要求应及时提供服务或立即通知有关人员到现场处理。</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eastAsia="zh-CN"/>
        </w:rPr>
        <w:t>负责办公场所防盗、防火、防破坏、防事故、防台风工作，负责公共区域巡查，做到有记录可查，及时消除隐患，保障办公场所安全。</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eastAsia="zh-CN"/>
        </w:rPr>
        <w:t>负责大型活动安全保障，及时部署安全防范工作，对车辆进行正确引导和对现场认真巡查，确保大型活动圆满完成。</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eastAsia="zh-CN"/>
        </w:rPr>
        <w:t>定期巡视检查消防系统设备和设施，发现问题及时检修，保障设备完好。建立上级有关部门要求的消防工作档案，接受上级检查。</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lang w:eastAsia="zh-CN"/>
        </w:rPr>
        <w:t>负责办公场所车辆疏导，正确引导车辆的行驶和停放，做到车辆出入安全、有序。在需要的地方设有规范的车辆行驶、禁鸣、停放等指示牌或标示牌。</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lang w:eastAsia="zh-CN"/>
        </w:rPr>
        <w:t>加强自身工作人员的安全教育与法治教育，提高其安全防范工作能力及法制知识，确保不因自身工作人员原因发生安全事故，并配合办公场所进行各类安全教育。</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lang w:eastAsia="zh-CN"/>
        </w:rPr>
        <w:t>按办公场所要求做好非经常性物品搬运等工作，例如布置会场、搬运器材、桌椅、清场，临时性绿化摆设等工作。</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lang w:eastAsia="zh-CN"/>
        </w:rPr>
        <w:t>突发灾害性天气前后的预防措施和善后处理工作。</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注：在安全防范工作中使用的工具、器材、服装等费用由中选人负责提供。</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lang w:eastAsia="zh-CN"/>
        </w:rPr>
        <w:t>清洁卫生管理的内容及要求</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办公场所前以及红线图内的道路、办公场所设施、洗手间、楼梯、大厅、走廊、天台、停车场等所有区域进行保洁，确保公共区无随意堆放的杂物、无废弃物和污渍。</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lang w:val="en-US" w:eastAsia="zh-CN"/>
        </w:rPr>
        <w:t>按要求对办公场所开展</w:t>
      </w:r>
      <w:r>
        <w:rPr>
          <w:rFonts w:hint="eastAsia" w:ascii="宋体" w:hAnsi="宋体" w:eastAsia="宋体" w:cs="宋体"/>
          <w:color w:val="auto"/>
          <w:sz w:val="21"/>
          <w:szCs w:val="21"/>
          <w:highlight w:val="none"/>
          <w:shd w:val="clear" w:color="auto" w:fill="FFFFFF"/>
          <w:lang w:eastAsia="zh-CN"/>
        </w:rPr>
        <w:t>清洁，</w:t>
      </w:r>
      <w:r>
        <w:rPr>
          <w:rFonts w:hint="eastAsia" w:ascii="宋体" w:hAnsi="宋体" w:cs="宋体"/>
          <w:color w:val="auto"/>
          <w:sz w:val="21"/>
          <w:szCs w:val="21"/>
          <w:highlight w:val="none"/>
          <w:shd w:val="clear" w:color="auto" w:fill="FFFFFF"/>
          <w:lang w:val="en-US" w:eastAsia="zh-CN"/>
        </w:rPr>
        <w:t>包括每日进行地面清洁、</w:t>
      </w:r>
      <w:r>
        <w:rPr>
          <w:rFonts w:hint="eastAsia" w:ascii="宋体" w:hAnsi="宋体" w:eastAsia="宋体" w:cs="宋体"/>
          <w:color w:val="auto"/>
          <w:sz w:val="21"/>
          <w:szCs w:val="21"/>
          <w:highlight w:val="none"/>
          <w:shd w:val="clear" w:color="auto" w:fill="FFFFFF"/>
          <w:lang w:eastAsia="zh-CN"/>
        </w:rPr>
        <w:t>办公及生活垃圾清倒，室内</w:t>
      </w:r>
      <w:r>
        <w:rPr>
          <w:rFonts w:hint="eastAsia" w:ascii="宋体" w:hAnsi="宋体" w:cs="宋体"/>
          <w:color w:val="auto"/>
          <w:sz w:val="21"/>
          <w:szCs w:val="21"/>
          <w:highlight w:val="none"/>
          <w:shd w:val="clear" w:color="auto" w:fill="FFFFFF"/>
          <w:lang w:val="en-US" w:eastAsia="zh-CN"/>
        </w:rPr>
        <w:t>桌椅</w:t>
      </w:r>
      <w:r>
        <w:rPr>
          <w:rFonts w:hint="eastAsia" w:ascii="宋体" w:hAnsi="宋体" w:eastAsia="宋体" w:cs="宋体"/>
          <w:color w:val="auto"/>
          <w:sz w:val="21"/>
          <w:szCs w:val="21"/>
          <w:highlight w:val="none"/>
          <w:shd w:val="clear" w:color="auto" w:fill="FFFFFF"/>
          <w:lang w:eastAsia="zh-CN"/>
        </w:rPr>
        <w:t>擦拭。各会议室等按照办公场所要求进行清洁。</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eastAsia="zh-CN"/>
        </w:rPr>
        <w:t>要求室内地面、窗户、窗台、设备等干净明亮，无灰尘及其他杂物；物品及桌椅摆放整齐，台面无污垢；卫生间无积水、无异味、无垃圾；洗手池内无异物，镜面清洁无水点；墙面天花板无灰尘、杂物及蜘蛛网。</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eastAsia="zh-CN"/>
        </w:rPr>
        <w:t>定期对各建筑物地面、天台、屋檐、雨棚进行清理保洁。根据实际天气情况，随时保洁（雨天清洁路面以免造成滑倒摔伤等事故）。对建筑物排水沟进行及时清理、清疏。</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eastAsia="zh-CN"/>
        </w:rPr>
        <w:t>房屋立面、公共部位、大楼范围内广场、绿化带、道路整洁，无堆放杂物现象。日常清扫杂物、垃圾等。定期清理办公场所沟渠，保证污水排放通畅，定期清理化粪池，保持管道畅通。</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eastAsia="zh-CN"/>
        </w:rPr>
        <w:t>公共洗手间每天随时清洁，保证无异味、无积水，下水道通畅，物品摆放整齐，及时清理垃圾。地面、玻璃、天台、栏杆、茶水间干净明亮，无灰尘无污迹痰痕及其它杂物；空调栏、墙面天花板无灰尘,走道、楼梯等每日清扫拖地一次；扶手、栏杆每天擦洗1次，具体操作依据办公场所规定。</w:t>
      </w:r>
    </w:p>
    <w:p>
      <w:pPr>
        <w:spacing w:line="560" w:lineRule="exact"/>
        <w:ind w:firstLine="422" w:firstLineChars="200"/>
        <w:rPr>
          <w:rFonts w:hint="eastAsia" w:ascii="Times New Roman" w:hAnsi="Times New Roman" w:eastAsia="宋体" w:cs="Times New Roman"/>
          <w:b/>
          <w:color w:val="auto"/>
          <w:sz w:val="21"/>
          <w:highlight w:val="none"/>
        </w:rPr>
      </w:pPr>
      <w:r>
        <w:rPr>
          <w:rFonts w:hint="eastAsia" w:ascii="Times New Roman" w:hAnsi="Times New Roman" w:eastAsia="宋体" w:cs="Times New Roman"/>
          <w:b/>
          <w:color w:val="auto"/>
          <w:sz w:val="21"/>
          <w:highlight w:val="none"/>
          <w:lang w:val="en-US" w:eastAsia="zh-CN"/>
        </w:rPr>
        <w:t>四</w:t>
      </w:r>
      <w:r>
        <w:rPr>
          <w:rFonts w:hint="eastAsia" w:ascii="Times New Roman" w:hAnsi="Times New Roman" w:eastAsia="宋体" w:cs="Times New Roman"/>
          <w:b/>
          <w:color w:val="auto"/>
          <w:sz w:val="21"/>
          <w:highlight w:val="none"/>
        </w:rPr>
        <w:t>、人员管理要求</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采购人与派驻服务人员不发生任何劳动和雇佣关系，派驻服务人员由中选人自行管理，并按法律法规和地方政府的规定支付服务人员的工资、福利、保险、奖金、加班费等一切费用。</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eastAsia="zh-CN"/>
        </w:rPr>
        <w:t>若采购人加班期间要求提供相关物业管理服务的，中选人应按上班期间要求，保质保量地做好保障工作。</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eastAsia="zh-CN"/>
        </w:rPr>
        <w:t>中选人的派驻服务人员应遵守安全操作规章制度，若发生人身伤害等工伤事故，由中选人负责，与采购人无关。</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eastAsia="zh-CN"/>
        </w:rPr>
        <w:t>中选人全部工作人员应专职服务本项目，如遇特殊情况需借用本项目工作人员，须报请采购人批准，并保证本项目正常运行。采购人有要求中选人须时更换工作人员的权利。</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eastAsia="zh-CN"/>
        </w:rPr>
        <w:t>投诉处理率100%，且及时、妥善，有完整的记录档案。</w:t>
      </w:r>
    </w:p>
    <w:p>
      <w:pPr>
        <w:spacing w:line="56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eastAsia="zh-CN"/>
        </w:rPr>
        <w:t>中选人应当自开展保安服务之日起30日内向物业所在地设区的市级公安机关申请备案。</w:t>
      </w:r>
    </w:p>
    <w:p>
      <w:pPr>
        <w:spacing w:line="560" w:lineRule="exact"/>
        <w:ind w:firstLine="422" w:firstLineChars="200"/>
        <w:rPr>
          <w:rFonts w:hint="eastAsia" w:ascii="Times New Roman" w:hAnsi="Times New Roman" w:eastAsia="宋体" w:cs="Times New Roman"/>
          <w:b/>
          <w:color w:val="auto"/>
          <w:sz w:val="21"/>
          <w:highlight w:val="none"/>
        </w:rPr>
      </w:pPr>
      <w:r>
        <w:rPr>
          <w:rFonts w:hint="eastAsia" w:ascii="Times New Roman" w:hAnsi="Times New Roman" w:eastAsia="宋体" w:cs="Times New Roman"/>
          <w:b/>
          <w:color w:val="auto"/>
          <w:sz w:val="21"/>
          <w:highlight w:val="none"/>
          <w:lang w:val="en-US" w:eastAsia="zh-CN"/>
        </w:rPr>
        <w:t>五</w:t>
      </w:r>
      <w:r>
        <w:rPr>
          <w:rFonts w:hint="eastAsia" w:ascii="Times New Roman" w:hAnsi="Times New Roman" w:eastAsia="宋体" w:cs="Times New Roman"/>
          <w:b/>
          <w:color w:val="auto"/>
          <w:sz w:val="21"/>
          <w:highlight w:val="none"/>
        </w:rPr>
        <w:t>、其他要求</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物业使用、管理过程中产生的所有水电费均由采购人负责。采购人在条件许可的情况下，无偿提供办公场所给中选人作办公使用。</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eastAsia="zh-CN"/>
        </w:rPr>
        <w:t>中选人的工作人员须遵守采购人的有关规章制度和管理规定，如有违反或损害采购人利益的，采购人有权拒绝中选人违规工作人员在此工作并有权要求中选人15日内更换符合人员配置要求的工作人员到岗。中选人工作人员在范围内发生违法、违规行为的，所造成一切后果及损失，由中选人承担责任和负责赔偿。</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eastAsia="zh-CN"/>
        </w:rPr>
        <w:t>中选人在管理服务期内由于自身责任造成群众、采购人人员人身伤亡和财产损失的，由中选人负责赔偿。中选人应购买一定保额的公众责任险和物业管理责任险，以保障自身的利益。</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eastAsia="zh-CN"/>
        </w:rPr>
        <w:t>中选人根据采购人要求派驻现场物业管理服务机构的岗位设置、人员名单（含简历、任职岗位），须经采购人审查确认后备案。</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eastAsia="zh-CN"/>
        </w:rPr>
        <w:t>中选人坚决贯彻执行采购人主管部门的管理要求，听从采购人主管部门的指挥调动，以确保采购人物业的正常运作。</w:t>
      </w:r>
    </w:p>
    <w:p>
      <w:pPr>
        <w:spacing w:line="56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eastAsia="zh-CN"/>
        </w:rPr>
        <w:t>验收要求：总体标准参照国家及省、市对物业管理的质量指标的有关规定、具体标准，结合投标人自身的物业服务水平。</w:t>
      </w:r>
    </w:p>
    <w:p>
      <w:pPr>
        <w:spacing w:line="560" w:lineRule="exact"/>
        <w:ind w:firstLine="422" w:firstLineChars="200"/>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六、付款方式</w:t>
      </w:r>
    </w:p>
    <w:p>
      <w:pPr>
        <w:spacing w:line="56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第一至三季度：中选人于次季度首月5日前向采购人开具上季度费用的发票给采购人，采购人根据中选人工作情况确认无误后，于10个工作日内按照发票金额支付上季度的项目费用。如遇法定节假日，则顺延至下一个工作日。</w:t>
      </w:r>
    </w:p>
    <w:p>
      <w:pPr>
        <w:spacing w:line="56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第四季度：于12月15日前，开具第四季度费用的发票给采购人，采购人根据中选人工作情况确认无误后，于10个工作日内按照发票金额支付第四季度的项目费用。如遇法定节假日，则顺延至下一个工作日。</w:t>
      </w:r>
    </w:p>
    <w:p>
      <w:pPr>
        <w:numPr>
          <w:ilvl w:val="0"/>
          <w:numId w:val="0"/>
        </w:numPr>
        <w:spacing w:line="560" w:lineRule="exact"/>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sectPr>
          <w:pgSz w:w="11900" w:h="16840"/>
          <w:pgMar w:top="2098" w:right="1474" w:bottom="1984" w:left="1587" w:header="851" w:footer="992" w:gutter="0"/>
          <w:pgNumType w:fmt="decimal"/>
          <w:cols w:space="720" w:num="1"/>
          <w:docGrid w:type="lines" w:linePitch="312" w:charSpace="0"/>
        </w:sectPr>
      </w:pPr>
      <w:bookmarkStart w:id="4" w:name="_GoBack"/>
      <w:bookmarkEnd w:id="4"/>
    </w:p>
    <w:bookmarkEnd w:id="2"/>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0" w:h="16840"/>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221CC"/>
    <w:rsid w:val="00140020"/>
    <w:rsid w:val="02F254D6"/>
    <w:rsid w:val="0797740A"/>
    <w:rsid w:val="0ADF113F"/>
    <w:rsid w:val="0C6E3C18"/>
    <w:rsid w:val="1C5A2797"/>
    <w:rsid w:val="1D304100"/>
    <w:rsid w:val="25FC4E50"/>
    <w:rsid w:val="272221CC"/>
    <w:rsid w:val="28A11444"/>
    <w:rsid w:val="30825CC2"/>
    <w:rsid w:val="318B631B"/>
    <w:rsid w:val="338F5ADA"/>
    <w:rsid w:val="40CC7E1C"/>
    <w:rsid w:val="42AC671A"/>
    <w:rsid w:val="4A3851AE"/>
    <w:rsid w:val="4B2526A3"/>
    <w:rsid w:val="4F423034"/>
    <w:rsid w:val="5035245A"/>
    <w:rsid w:val="517F2CF2"/>
    <w:rsid w:val="57C54BF3"/>
    <w:rsid w:val="5C605C26"/>
    <w:rsid w:val="5D1204C6"/>
    <w:rsid w:val="5FF92240"/>
    <w:rsid w:val="62312145"/>
    <w:rsid w:val="6D6DBCC3"/>
    <w:rsid w:val="71390816"/>
    <w:rsid w:val="770C2C83"/>
    <w:rsid w:val="77C04BF6"/>
    <w:rsid w:val="7B872ADD"/>
    <w:rsid w:val="7BDC3ED8"/>
    <w:rsid w:val="7CD81580"/>
    <w:rsid w:val="7CE8128C"/>
    <w:rsid w:val="7D9B6355"/>
    <w:rsid w:val="7FBE5AE6"/>
    <w:rsid w:val="BAFF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2025-05-16T08:07:00Z</dcterms:created>
  <dc:creator>songdi</dc:creator>
  <cp:lastModifiedBy>songdi</cp:lastModifiedBy>
  <cp:lastPrinted>2025-12-10T06:06:52Z</cp:lastPrinted>
  <dcterms:modified xsi:type="dcterms:W3CDTF">2025-12-10T06:39:09Z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2AA14DE86FCA17C1E0C52568674A3CD2</vt:lpwstr>
  </property>
</Properties>
</file>