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outlineLvl w:val="0"/>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综合评分表</w:t>
      </w:r>
    </w:p>
    <w:p>
      <w:pPr>
        <w:keepNext w:val="0"/>
        <w:keepLines w:val="0"/>
        <w:pageBreakBefore w:val="0"/>
        <w:widowControl w:val="0"/>
        <w:kinsoku/>
        <w:wordWrap/>
        <w:overflowPunct/>
        <w:topLinePunct w:val="0"/>
        <w:autoSpaceDE/>
        <w:autoSpaceDN/>
        <w:bidi w:val="0"/>
        <w:adjustRightInd/>
        <w:snapToGrid/>
        <w:spacing w:beforeLines="0" w:line="4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640" w:firstLineChars="200"/>
        <w:textAlignment w:val="auto"/>
        <w:rPr>
          <w:rFonts w:hint="eastAsia"/>
          <w:lang w:val="en-US" w:eastAsia="zh-CN"/>
        </w:rPr>
      </w:pPr>
      <w:r>
        <w:rPr>
          <w:rFonts w:hint="default" w:ascii="Times New Roman" w:hAnsi="Times New Roman" w:eastAsia="仿宋_GB2312" w:cs="Times New Roman"/>
          <w:sz w:val="32"/>
          <w:szCs w:val="32"/>
        </w:rPr>
        <w:t>投标人应如实提交《综合评分表》要求提交的相关各类证明、资料等并应加盖投标人公章，投标人如未按要求提交的，该项评分为零分。</w:t>
      </w:r>
      <w:r>
        <w:rPr>
          <w:rFonts w:hint="default" w:ascii="Times New Roman" w:hAnsi="Times New Roman" w:eastAsia="仿宋_GB2312" w:cs="Times New Roman"/>
          <w:sz w:val="32"/>
          <w:szCs w:val="32"/>
          <w:lang w:eastAsia="zh-CN"/>
        </w:rPr>
        <w:t>评标结果</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rPr>
        <w:t>评标委员会各成员分值的算术平均值（四舍五入后，小数点后保留两位有效数</w:t>
      </w:r>
      <w:r>
        <w:rPr>
          <w:rFonts w:hint="eastAsia" w:eastAsia="仿宋_GB2312" w:cs="Times New Roman"/>
          <w:sz w:val="32"/>
          <w:szCs w:val="32"/>
          <w:lang w:eastAsia="zh-CN"/>
        </w:rPr>
        <w:t>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，得分最高者为第一中标候选人</w:t>
      </w:r>
      <w:r>
        <w:rPr>
          <w:rFonts w:hint="default" w:ascii="Times New Roman" w:hAnsi="Times New Roman" w:eastAsia="仿宋_GB2312" w:cs="Times New Roman"/>
          <w:kern w:val="2"/>
          <w:sz w:val="32"/>
          <w:szCs w:val="32"/>
          <w:lang w:val="en-US" w:eastAsia="zh-CN" w:bidi="ar-SA"/>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496"/>
        <w:gridCol w:w="7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shd w:val="clear" w:color="auto" w:fill="auto"/>
            <w:vAlign w:val="center"/>
          </w:tcPr>
          <w:p>
            <w:pPr>
              <w:spacing w:line="360" w:lineRule="auto"/>
              <w:jc w:val="center"/>
              <w:rPr>
                <w:rFonts w:hint="default" w:ascii="Times New Roman" w:hAnsi="Times New Roman" w:eastAsia="仿宋_GB2312" w:cs="Times New Roman"/>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评审内容</w:t>
            </w:r>
          </w:p>
        </w:tc>
        <w:tc>
          <w:tcPr>
            <w:tcW w:w="496" w:type="dxa"/>
            <w:shd w:val="clear" w:color="auto" w:fill="auto"/>
            <w:vAlign w:val="center"/>
          </w:tcPr>
          <w:p>
            <w:pPr>
              <w:spacing w:line="360" w:lineRule="auto"/>
              <w:jc w:val="center"/>
              <w:rPr>
                <w:rFonts w:hint="default" w:ascii="Times New Roman" w:hAnsi="Times New Roman" w:eastAsia="仿宋_GB2312" w:cs="Times New Roman"/>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分值</w:t>
            </w:r>
          </w:p>
        </w:tc>
        <w:tc>
          <w:tcPr>
            <w:tcW w:w="7259" w:type="dxa"/>
            <w:shd w:val="clear" w:color="auto" w:fill="auto"/>
            <w:vAlign w:val="center"/>
          </w:tcPr>
          <w:p>
            <w:pPr>
              <w:spacing w:line="360" w:lineRule="auto"/>
              <w:jc w:val="center"/>
              <w:rPr>
                <w:rFonts w:hint="default" w:ascii="Times New Roman" w:hAnsi="Times New Roman" w:eastAsia="仿宋_GB2312" w:cs="Times New Roman"/>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22" w:type="dxa"/>
            <w:gridSpan w:val="3"/>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仿宋_GB2312" w:cs="Times New Roman"/>
                <w:bCs/>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技术部分（</w:t>
            </w:r>
            <w:r>
              <w:rPr>
                <w:rFonts w:hint="eastAsia" w:eastAsia="仿宋_GB2312" w:cs="Times New Roman"/>
                <w:b/>
                <w:color w:val="000000" w:themeColor="text1"/>
                <w:sz w:val="32"/>
                <w:szCs w:val="32"/>
                <w:highlight w:val="none"/>
                <w:lang w:val="en-US" w:eastAsia="zh-CN"/>
                <w14:textFill>
                  <w14:solidFill>
                    <w14:schemeClr w14:val="tx1"/>
                  </w14:solidFill>
                </w14:textFill>
              </w:rPr>
              <w:t>45</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服务要求响应情况</w:t>
            </w:r>
          </w:p>
        </w:tc>
        <w:tc>
          <w:tcPr>
            <w:tcW w:w="496" w:type="dxa"/>
            <w:vAlign w:val="center"/>
          </w:tcPr>
          <w:p>
            <w:pPr>
              <w:keepNext w:val="0"/>
              <w:keepLines w:val="0"/>
              <w:pageBreakBefore w:val="0"/>
              <w:kinsoku/>
              <w:wordWrap/>
              <w:overflowPunct/>
              <w:topLinePunct w:val="0"/>
              <w:bidi w:val="0"/>
              <w:spacing w:line="288"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w:t>
            </w:r>
          </w:p>
        </w:tc>
        <w:tc>
          <w:tcPr>
            <w:tcW w:w="7259" w:type="dxa"/>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根据响应供应商对用户需求中“服务内容”、“服务要求”的细项（共14项）响应情况进行评审：每完全响应或正偏离1项，得0.5分，本项最高得7分。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color w:val="auto"/>
                <w:kern w:val="2"/>
                <w:sz w:val="21"/>
                <w:szCs w:val="21"/>
                <w:lang w:val="en-US" w:eastAsia="zh-CN" w:bidi="ar-SA"/>
              </w:rPr>
              <w:t>项目现状了解、熟悉情况</w:t>
            </w:r>
          </w:p>
        </w:tc>
        <w:tc>
          <w:tcPr>
            <w:tcW w:w="496" w:type="dxa"/>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7259" w:type="dxa"/>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根据供应商对本项目现状的了解、熟悉情况（包括但不限于对相关法律法规、统计及编制报告的熟悉程度，以及根据用户需求提出建议等）进行评审：</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（1）对项目现状和相关流程非常熟悉，能够根据用户需求提出切实可行的合理化建议，得10分；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（2）对项目现状和相关流程较熟悉，能够根据用户需求提出较符合实际的建议，得7分；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（3）对项目现状和相关流程有一定了解，能够根据用户需求提出基本可行的建议，得4分；</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（4）对项目现状和相关流程不够了解，对用户需求提出的建议可行性较差，得1分；</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（5）无相关内容不得分。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auto"/>
                <w:kern w:val="2"/>
                <w:sz w:val="21"/>
                <w:szCs w:val="21"/>
                <w:lang w:val="en-US" w:eastAsia="zh-CN" w:bidi="ar-SA"/>
              </w:rPr>
              <w:t>项目实施工作方案</w:t>
            </w:r>
          </w:p>
        </w:tc>
        <w:tc>
          <w:tcPr>
            <w:tcW w:w="496" w:type="dxa"/>
            <w:shd w:val="clear" w:color="auto" w:fill="auto"/>
            <w:vAlign w:val="center"/>
          </w:tcPr>
          <w:p>
            <w:pPr>
              <w:keepNext w:val="0"/>
              <w:keepLines w:val="0"/>
              <w:pageBreakBefore w:val="0"/>
              <w:kinsoku/>
              <w:wordWrap/>
              <w:overflowPunct/>
              <w:topLinePunct w:val="0"/>
              <w:bidi w:val="0"/>
              <w:spacing w:line="288"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根据供应商针对本项目的项目实施工作方案（包括但不限于人员安排计划、采购人服务要求响应方案等）进行综合评审：</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（1）项目实施方案详细、全面、完整，非常合理，针对性、可行性高，得10分；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（2）项目实施方案详细、全面，较合理，针对性、可行性较高，得7分；</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（3）项目实施方案基本详细、全面，有一定合理性，针对性、可行性一般，得4分；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（4）项目实施方案较简单，针对性、可行性较差，得1分；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质量控制和保障措施</w:t>
            </w:r>
          </w:p>
        </w:tc>
        <w:tc>
          <w:tcPr>
            <w:tcW w:w="496" w:type="dxa"/>
            <w:shd w:val="clear" w:color="auto" w:fill="auto"/>
            <w:vAlign w:val="center"/>
          </w:tcPr>
          <w:p>
            <w:pPr>
              <w:keepNext w:val="0"/>
              <w:keepLines w:val="0"/>
              <w:pageBreakBefore w:val="0"/>
              <w:kinsoku/>
              <w:wordWrap/>
              <w:overflowPunct/>
              <w:topLinePunct w:val="0"/>
              <w:bidi w:val="0"/>
              <w:spacing w:line="288"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根据供应商提供的质量管控方案（包括但不限于：工作制度规范化、业务流程规范化、统计服务规范化、资料保管规范化）进行评审：</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（1）供应商提供的质量管控方案非常完善、合理，完全满足采购需求的，得10分；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（2）供应商提供的质量管控方案基本完善、基本合理，方案部分满足采购需求的，得7分；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（3）供应商提供的质量管控方案不完善、仅具备一定合理性，不能满足采购需求的，得4分；</w:t>
            </w:r>
          </w:p>
          <w:p>
            <w:pPr>
              <w:keepNext w:val="0"/>
              <w:keepLines w:val="0"/>
              <w:pageBreakBefore w:val="0"/>
              <w:kinsoku/>
              <w:wordWrap/>
              <w:overflowPunct/>
              <w:topLinePunct w:val="0"/>
              <w:bidi w:val="0"/>
              <w:spacing w:line="288" w:lineRule="auto"/>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ascii="宋体" w:hAnsi="宋体" w:eastAsia="宋体" w:cs="宋体"/>
                <w:bCs/>
                <w:color w:val="auto"/>
                <w:sz w:val="21"/>
                <w:szCs w:val="21"/>
                <w:lang w:val="en-US" w:eastAsia="zh-CN"/>
              </w:rPr>
              <w:t>项目成果准确性保障措施</w:t>
            </w:r>
          </w:p>
        </w:tc>
        <w:tc>
          <w:tcPr>
            <w:tcW w:w="496" w:type="dxa"/>
            <w:shd w:val="clear" w:color="auto" w:fill="auto"/>
            <w:vAlign w:val="center"/>
          </w:tcPr>
          <w:p>
            <w:pPr>
              <w:keepNext w:val="0"/>
              <w:keepLines w:val="0"/>
              <w:pageBreakBefore w:val="0"/>
              <w:kinsoku/>
              <w:wordWrap/>
              <w:overflowPunct/>
              <w:topLinePunct w:val="0"/>
              <w:bidi w:val="0"/>
              <w:spacing w:line="288"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根据供应商提供的项目成果准确性保障措施（包括但不限于：数据采集准确性保障措施、项目成果复核机制、应急预案）进行评审：</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（1）供应商提供的项目成果准确性保障措施非常完善、合理，完全满足采购需求的，得8分；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（2）供应商提供的项目成果准确性保障措施基本完善、基本合理，方案部分满足采购需求的，得6分；</w:t>
            </w:r>
            <w:r>
              <w:rPr>
                <w:rFonts w:hint="eastAsia" w:ascii="Times New Roman" w:hAnsi="Times New Roman" w:eastAsia="宋体" w:cs="Times New Roman"/>
                <w:color w:val="auto"/>
                <w:sz w:val="21"/>
                <w:szCs w:val="21"/>
                <w:highlight w:val="none"/>
                <w:lang w:val="en-US" w:eastAsia="zh-CN"/>
              </w:rPr>
              <w:br w:type="textWrapping"/>
            </w:r>
            <w:r>
              <w:rPr>
                <w:rFonts w:hint="eastAsia" w:ascii="Times New Roman" w:hAnsi="Times New Roman" w:eastAsia="宋体" w:cs="Times New Roman"/>
                <w:color w:val="auto"/>
                <w:sz w:val="21"/>
                <w:szCs w:val="21"/>
                <w:highlight w:val="none"/>
                <w:lang w:val="en-US" w:eastAsia="zh-CN"/>
              </w:rPr>
              <w:t>（3）供应商提供的项目成果准确性保障措施不完善、仅具备一定合理性，不能满足采购需求的，得4分</w:t>
            </w:r>
            <w:r>
              <w:rPr>
                <w:rFonts w:hint="eastAsia" w:cs="Times New Roman"/>
                <w:color w:val="auto"/>
                <w:sz w:val="21"/>
                <w:szCs w:val="21"/>
                <w:highlight w:val="none"/>
                <w:lang w:val="en-US" w:eastAsia="zh-CN"/>
              </w:rPr>
              <w:t>；</w:t>
            </w:r>
          </w:p>
          <w:p>
            <w:pPr>
              <w:keepNext w:val="0"/>
              <w:keepLines w:val="0"/>
              <w:pageBreakBefore w:val="0"/>
              <w:kinsoku/>
              <w:wordWrap/>
              <w:overflowPunct/>
              <w:topLinePunct w:val="0"/>
              <w:bidi w:val="0"/>
              <w:spacing w:line="288" w:lineRule="auto"/>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（4）无相关内容不得分。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8522" w:type="dxa"/>
            <w:gridSpan w:val="3"/>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outlineLvl w:val="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color w:val="auto"/>
                <w:sz w:val="32"/>
                <w:szCs w:val="32"/>
                <w:highlight w:val="none"/>
                <w:lang w:val="en-US" w:eastAsia="zh-CN"/>
              </w:rPr>
              <w:t>商务部分（</w:t>
            </w:r>
            <w:r>
              <w:rPr>
                <w:rFonts w:hint="eastAsia" w:eastAsia="仿宋_GB2312" w:cs="Times New Roman"/>
                <w:b/>
                <w:color w:val="auto"/>
                <w:sz w:val="32"/>
                <w:szCs w:val="32"/>
                <w:highlight w:val="none"/>
                <w:lang w:val="en-US" w:eastAsia="zh-CN"/>
              </w:rPr>
              <w:t>40</w:t>
            </w:r>
            <w:r>
              <w:rPr>
                <w:rFonts w:hint="default" w:ascii="Times New Roman" w:hAnsi="Times New Roman" w:eastAsia="仿宋_GB2312" w:cs="Times New Roman"/>
                <w:b/>
                <w:color w:val="auto"/>
                <w:sz w:val="32"/>
                <w:szCs w:val="3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67" w:type="dxa"/>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相关业绩</w:t>
            </w:r>
          </w:p>
        </w:tc>
        <w:tc>
          <w:tcPr>
            <w:tcW w:w="496" w:type="dxa"/>
            <w:vAlign w:val="center"/>
          </w:tcPr>
          <w:p>
            <w:pPr>
              <w:keepNext w:val="0"/>
              <w:keepLines w:val="0"/>
              <w:pageBreakBefore w:val="0"/>
              <w:kinsoku/>
              <w:wordWrap/>
              <w:overflowPunct/>
              <w:topLinePunct w:val="0"/>
              <w:bidi w:val="0"/>
              <w:spacing w:line="288"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根据供应商在2022年1月1日起至今（以合同签订时间为准）承接过与本项目同类服务的业绩进行评审，每提供一项得2分，最高得4分。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【注：时间以合同签订时间为准；须提供合同首页、关键页、落款盖章页复印件加盖公章，不提供不得分。】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满意度评价</w:t>
            </w:r>
          </w:p>
        </w:tc>
        <w:tc>
          <w:tcPr>
            <w:tcW w:w="496" w:type="dxa"/>
            <w:vAlign w:val="center"/>
          </w:tcPr>
          <w:p>
            <w:pPr>
              <w:keepNext w:val="0"/>
              <w:keepLines w:val="0"/>
              <w:pageBreakBefore w:val="0"/>
              <w:kinsoku/>
              <w:wordWrap/>
              <w:overflowPunct/>
              <w:topLinePunct w:val="0"/>
              <w:bidi w:val="0"/>
              <w:spacing w:line="288"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响应供应商提供自2022年1月1日至今同类项目对应服务评价证明文件的，评价为优秀（满意或其他定义相同的评价），每提供一项评价文件得2分，本项最高6分。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备注：①评价材料必须加盖采购人公章；②评价材料必须达到90分或带有“满意”或“好评”或“优秀”或相当</w:t>
            </w:r>
            <w:r>
              <w:rPr>
                <w:rFonts w:hint="eastAsia"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评价，同一客户但不同项目的服务评价的，可以累计计算得分；③评价材料必须与同类项目业绩相对应，否则不得分。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管理体系</w:t>
            </w:r>
          </w:p>
        </w:tc>
        <w:tc>
          <w:tcPr>
            <w:tcW w:w="496" w:type="dxa"/>
            <w:shd w:val="clear" w:color="auto" w:fill="auto"/>
            <w:vAlign w:val="center"/>
          </w:tcPr>
          <w:p>
            <w:pPr>
              <w:keepNext w:val="0"/>
              <w:keepLines w:val="0"/>
              <w:pageBreakBefore w:val="0"/>
              <w:kinsoku/>
              <w:wordWrap/>
              <w:overflowPunct/>
              <w:topLinePunct w:val="0"/>
              <w:bidi w:val="0"/>
              <w:spacing w:line="288"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供应商具有以下有效期内的认证证书：</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（1）具有质量管理体系认证证书；</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（2）具有环境管理体系认证证书；</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每提供一项得3分，最高得6分，无不得分。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（新成立的公司因</w:t>
            </w:r>
            <w:r>
              <w:rPr>
                <w:rFonts w:hint="eastAsia" w:cs="Times New Roman"/>
                <w:color w:val="auto"/>
                <w:sz w:val="21"/>
                <w:szCs w:val="21"/>
                <w:highlight w:val="none"/>
                <w:lang w:val="en-US" w:eastAsia="zh-CN"/>
              </w:rPr>
              <w:t>运营时间</w:t>
            </w:r>
            <w:r>
              <w:rPr>
                <w:rFonts w:hint="eastAsia" w:ascii="Times New Roman" w:hAnsi="Times New Roman" w:eastAsia="宋体" w:cs="Times New Roman"/>
                <w:color w:val="auto"/>
                <w:sz w:val="21"/>
                <w:szCs w:val="21"/>
                <w:highlight w:val="none"/>
                <w:lang w:val="en-US" w:eastAsia="zh-CN"/>
              </w:rPr>
              <w:t>不满3个月无法办理认证证书的，须提供有关证明材料并加盖投标人公章，可对应得分。）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（注：须提供全国认证认可信息公共服务平台显示有效期内的截图和认证证书复印件并加盖响应供应商公章，否则不得分。）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shd w:val="clear" w:color="auto" w:fill="auto"/>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项目负责人及服务团队成员</w:t>
            </w:r>
          </w:p>
        </w:tc>
        <w:tc>
          <w:tcPr>
            <w:tcW w:w="496" w:type="dxa"/>
            <w:shd w:val="clear" w:color="auto" w:fill="auto"/>
            <w:vAlign w:val="center"/>
          </w:tcPr>
          <w:p>
            <w:pPr>
              <w:keepNext w:val="0"/>
              <w:keepLines w:val="0"/>
              <w:pageBreakBefore w:val="0"/>
              <w:kinsoku/>
              <w:wordWrap/>
              <w:overflowPunct/>
              <w:topLinePunct w:val="0"/>
              <w:bidi w:val="0"/>
              <w:spacing w:line="288"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根据供应商拟投入本项目的项目负责人情况进行评审：</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（1）具有环境类高级及以上职称的，得4分；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（2）具有环境影响评价工程师资格证书的，得4分。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注：提供上述人员相关资质证明材料以及本年度内任意一个月的社保证明材料复印件并加盖公章，不提供不得分。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shd w:val="clear" w:color="auto" w:fill="auto"/>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p>
        </w:tc>
        <w:tc>
          <w:tcPr>
            <w:tcW w:w="496" w:type="dxa"/>
            <w:shd w:val="clear" w:color="auto" w:fill="auto"/>
            <w:vAlign w:val="center"/>
          </w:tcPr>
          <w:p>
            <w:pPr>
              <w:keepNext w:val="0"/>
              <w:keepLines w:val="0"/>
              <w:pageBreakBefore w:val="0"/>
              <w:kinsoku/>
              <w:wordWrap/>
              <w:overflowPunct/>
              <w:topLinePunct w:val="0"/>
              <w:bidi w:val="0"/>
              <w:spacing w:line="288"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16</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根据供应商拟投入本项目的技术服务人员（项目负责人以外）情况进行评审：</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（1）具有环境类高级职称证书及具有环境影响评价工程师资格证书的得8分，最高得8分；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（2）具有环境类中级或以上职</w:t>
            </w:r>
            <w:bookmarkStart w:id="0" w:name="_GoBack"/>
            <w:bookmarkEnd w:id="0"/>
            <w:r>
              <w:rPr>
                <w:rFonts w:hint="eastAsia" w:ascii="Times New Roman" w:hAnsi="Times New Roman" w:eastAsia="宋体" w:cs="Times New Roman"/>
                <w:color w:val="auto"/>
                <w:sz w:val="21"/>
                <w:szCs w:val="21"/>
                <w:highlight w:val="none"/>
                <w:lang w:val="en-US" w:eastAsia="zh-CN"/>
              </w:rPr>
              <w:t>称证书或硕士研究生毕业证书的，每提供一个得4分，最高得8分。</w:t>
            </w:r>
          </w:p>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注：1同一人具有多证证书的，按得分高优先，不重复计分；2、提供上述人员相关资质证明材料以及在本年度内任意一个月的社保证明材料复印件</w:t>
            </w:r>
            <w:r>
              <w:rPr>
                <w:rFonts w:hint="eastAsia" w:cs="Times New Roman"/>
                <w:color w:val="auto"/>
                <w:sz w:val="21"/>
                <w:szCs w:val="21"/>
                <w:highlight w:val="none"/>
                <w:lang w:val="en-US" w:eastAsia="zh-CN"/>
              </w:rPr>
              <w:t>并</w:t>
            </w:r>
            <w:r>
              <w:rPr>
                <w:rFonts w:hint="eastAsia" w:ascii="Times New Roman" w:hAnsi="Times New Roman" w:eastAsia="宋体" w:cs="Times New Roman"/>
                <w:color w:val="auto"/>
                <w:sz w:val="21"/>
                <w:szCs w:val="21"/>
                <w:highlight w:val="none"/>
                <w:lang w:val="en-US" w:eastAsia="zh-CN"/>
              </w:rPr>
              <w:t>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8522"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color w:val="auto"/>
                <w:sz w:val="32"/>
                <w:szCs w:val="32"/>
                <w:highlight w:val="none"/>
                <w:lang w:val="en-US" w:eastAsia="zh-CN"/>
              </w:rPr>
              <w:t>价格部分（</w:t>
            </w:r>
            <w:r>
              <w:rPr>
                <w:rFonts w:hint="eastAsia" w:eastAsia="仿宋_GB2312" w:cs="Times New Roman"/>
                <w:b/>
                <w:color w:val="auto"/>
                <w:sz w:val="32"/>
                <w:szCs w:val="32"/>
                <w:highlight w:val="none"/>
                <w:lang w:val="en-US" w:eastAsia="zh-CN"/>
              </w:rPr>
              <w:t>15</w:t>
            </w:r>
            <w:r>
              <w:rPr>
                <w:rFonts w:hint="default" w:ascii="Times New Roman" w:hAnsi="Times New Roman" w:eastAsia="仿宋_GB2312" w:cs="Times New Roman"/>
                <w:b/>
                <w:color w:val="auto"/>
                <w:sz w:val="32"/>
                <w:szCs w:val="3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pPr>
              <w:keepNext w:val="0"/>
              <w:keepLines w:val="0"/>
              <w:pageBreakBefore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投标报价</w:t>
            </w:r>
          </w:p>
        </w:tc>
        <w:tc>
          <w:tcPr>
            <w:tcW w:w="496" w:type="dxa"/>
            <w:shd w:val="clear" w:color="auto" w:fill="auto"/>
            <w:vAlign w:val="center"/>
          </w:tcPr>
          <w:p>
            <w:pPr>
              <w:keepNext w:val="0"/>
              <w:keepLines w:val="0"/>
              <w:pageBreakBefore w:val="0"/>
              <w:kinsoku/>
              <w:wordWrap/>
              <w:overflowPunct/>
              <w:topLinePunct w:val="0"/>
              <w:bidi w:val="0"/>
              <w:spacing w:line="288" w:lineRule="auto"/>
              <w:jc w:val="center"/>
              <w:textAlignment w:val="auto"/>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7259" w:type="dxa"/>
            <w:shd w:val="clear" w:color="auto" w:fill="auto"/>
            <w:vAlign w:val="center"/>
          </w:tcPr>
          <w:p>
            <w:pPr>
              <w:keepNext w:val="0"/>
              <w:keepLines w:val="0"/>
              <w:pageBreakBefore w:val="0"/>
              <w:kinsoku/>
              <w:wordWrap/>
              <w:overflowPunct/>
              <w:topLinePunct w:val="0"/>
              <w:bidi w:val="0"/>
              <w:spacing w:line="288" w:lineRule="auto"/>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（1）报价高于限价或相对于限价折让超过20%，此项不得分；</w:t>
            </w:r>
          </w:p>
          <w:p>
            <w:pPr>
              <w:keepNext w:val="0"/>
              <w:keepLines w:val="0"/>
              <w:pageBreakBefore w:val="0"/>
              <w:kinsoku/>
              <w:wordWrap/>
              <w:overflowPunct/>
              <w:topLinePunct w:val="0"/>
              <w:bidi w:val="0"/>
              <w:spacing w:line="288" w:lineRule="auto"/>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sz w:val="21"/>
                <w:szCs w:val="21"/>
                <w:highlight w:val="none"/>
                <w:lang w:val="en-US" w:eastAsia="zh-CN"/>
              </w:rPr>
              <w:t>（2）各投标人报价由低到高排序，以排名计分，最低价者此项满分，最高价者得5分，以此类推。（ 如：共3家企业投标，第一名得15分，第二名得10分，第三名得5分）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outlineLvl w:val="0"/>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67690" cy="354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7690"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95pt;width:44.7pt;mso-position-horizontal:outside;mso-position-horizontal-relative:margin;z-index:251659264;mso-width-relative:page;mso-height-relative:page;" filled="f" stroked="f" coordsize="21600,21600" o:gfxdata="UEsDBAoAAAAAAIdO4kAAAAAAAAAAAAAAAAAEAAAAZHJzL1BLAwQUAAAACACHTuJAbP6u4tMAAAAD&#10;AQAADwAAAGRycy9kb3ducmV2LnhtbE2PS0/DMBCE70j8B2uRuFE7iKI2xOmBx41nAQluTrwkEfY6&#10;sjdp+fcYLnBZaTSjmW+rzd47MWNMQyANxUKBQGqDHajT8PJ8c7ICkdiQNS4QavjCBJv68KAypQ07&#10;esJ5y53IJZRKo6FnHkspU9ujN2kRRqTsfYToDWcZO2mj2eVy7+SpUufSm4HyQm9GvOyx/dxOXoN7&#10;S/G2Ufw+X3V3/Pggp9fr4l7r46NCXYBg3PNfGH7wMzrUmakJE9kknIb8CP/e7K3WZyAaDcvlGmRd&#10;yf/s9TdQSwMEFAAAAAgAh07iQNV8zvw4AgAAYQQAAA4AAABkcnMvZTJvRG9jLnhtbK1UwW4TMRC9&#10;I/EPlu9005YEGnVThVZFSBWtVBBnx+vNWrI9xna6Wz4A/oATF+58V76D591NigqHHrg4szPjN/Pe&#10;jHN61lnD7lSImlzJDw8mnCknqdJuXfKPHy5fvOYsJuEqYcipkt+ryM8Wz5+dtn6ujqghU6nAAOLi&#10;vPUlb1Ly86KIslFWxAPyyiFYU7Ai4TOsiyqIFujWFEeTyaxoKVQ+kFQxwnsxBPmIGJ4CSHWtpbog&#10;ubHKpQE1KCMSKMVG+8gXfbd1rWS6ruuoEjMlB9PUnygCe5XPYnEq5usgfKPl2IJ4SguPOFmhHYru&#10;oS5EEmwT9F9QVstAkep0IMkWA5FeEbA4nDzS5rYRXvVcIHX0e9Hj/4OV7+9uAtMVNoEzJywGvv3+&#10;bfvj1/bnV3aY5Wl9nCPr1iMvdW+oy6mjP8KZWXd1sPkXfBjiEPd+L67qEpNwTmevZieISISOpy9P&#10;ZtOMUjxc9iGmt4osy0bJA2bXSyrurmIaUncpuZajS20M/GJuHGtLPjueTvoL+wjAjUONTGFoNVup&#10;W3Vj/yuq7kEr0LAX0ctLjeJXIqYbEbAI6BdPJV3jqA2hCI0WZw2FL//y53zMB1HOWixWyePnjQiK&#10;M/POYXKATDsj7IzVznAbe07YVUwD3fQmLoRkdmYdyH7CC1rmKggJJ1Gr5GlnnqdhvfECpVou+6SN&#10;D3rdDBewd16kK3frZS4zSLncJKp1r3KWaNBlVA6b189pfCV5tf/87rMe/hk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q7i0wAAAAMBAAAPAAAAAAAAAAEAIAAAACIAAABkcnMvZG93bnJldi54&#10;bWxQSwECFAAUAAAACACHTuJA1XzO/DgCAABhBAAADgAAAAAAAAABACAAAAAiAQAAZHJzL2Uyb0Rv&#10;Yy54bWxQSwUGAAAAAAYABgBZAQAAzAUAAAAA&#10;">
              <v:fill on="f" focussize="0,0"/>
              <v:stroke on="f" weight="0.5pt"/>
              <v:imagedata o:title=""/>
              <o:lock v:ext="edit" aspectratio="f"/>
              <v:textbox inset="0mm,0mm,0mm,0mm">
                <w:txbxContent>
                  <w:p>
                    <w:pPr>
                      <w:spacing w:line="240" w:lineRule="auto"/>
                      <w:jc w:val="center"/>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747AE"/>
    <w:rsid w:val="2D3C5823"/>
    <w:rsid w:val="3F9C0604"/>
    <w:rsid w:val="52FA34F7"/>
    <w:rsid w:val="5B9B7AF8"/>
    <w:rsid w:val="62F51407"/>
    <w:rsid w:val="66A7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8"/>
      <w:szCs w:val="2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after="120" w:afterLines="0"/>
      <w:ind w:left="180" w:leftChars="75" w:right="-82" w:rightChars="-34"/>
      <w:jc w:val="left"/>
    </w:pPr>
    <w:rPr>
      <w:rFonts w:ascii="宋体" w:hAnsi="宋体"/>
      <w:b/>
      <w:bCs/>
      <w:caps/>
      <w:sz w:val="21"/>
      <w:szCs w:val="21"/>
      <w:lang w:val="en-US" w:eastAsia="zh-CN"/>
    </w:rPr>
  </w:style>
  <w:style w:type="paragraph" w:styleId="4">
    <w:name w:val="Body Text"/>
    <w:basedOn w:val="1"/>
    <w:next w:val="1"/>
    <w:qFormat/>
    <w:uiPriority w:val="0"/>
    <w:pPr>
      <w:spacing w:line="480" w:lineRule="auto"/>
    </w:pPr>
    <w:rPr>
      <w:sz w:val="24"/>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New New New New New New New New New New New New New New New New New New New New New New New New New New"/>
    <w:basedOn w:val="1"/>
    <w:qFormat/>
    <w:uiPriority w:val="0"/>
    <w:pPr>
      <w:keepNext w:val="0"/>
      <w:keepLines w:val="0"/>
      <w:widowControl w:val="0"/>
      <w:suppressLineNumbers w:val="0"/>
      <w:autoSpaceDE/>
      <w:autoSpaceDN/>
      <w:adjustRightInd/>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区生态环境分局</Company>
  <Pages>3</Pages>
  <Words>0</Words>
  <Characters>0</Characters>
  <Lines>0</Lines>
  <Paragraphs>0</Paragraphs>
  <TotalTime>28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2025-11-10T02:54:00Z</dcterms:created>
  <dc:creator>琪</dc:creator>
  <cp:lastModifiedBy>南船</cp:lastModifiedBy>
  <cp:lastPrinted>2025-11-10T03:43:00Z</cp:lastPrinted>
  <dcterms:modified xsi:type="dcterms:W3CDTF">2025-11-12T01:27:52Z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EED8453C9FAA490D83D753B6D3D67666</vt:lpwstr>
  </property>
</Properties>
</file>