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kern w:val="0"/>
          <w:sz w:val="44"/>
          <w:szCs w:val="44"/>
          <w:lang w:val="en-US" w:eastAsia="zh-CN"/>
        </w:rPr>
      </w:pPr>
      <w:r>
        <w:rPr>
          <w:rFonts w:hint="eastAsia" w:ascii="Times New Roman" w:hAnsi="Times New Roman" w:eastAsia="方正小标宋_GBK" w:cs="Times New Roman"/>
          <w:color w:val="auto"/>
          <w:kern w:val="0"/>
          <w:sz w:val="44"/>
          <w:szCs w:val="44"/>
          <w:lang w:val="en-US" w:eastAsia="zh-CN"/>
        </w:rPr>
        <w:t>广州市生态环境局白云环境监测站</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kern w:val="0"/>
          <w:sz w:val="44"/>
          <w:szCs w:val="44"/>
        </w:rPr>
      </w:pPr>
      <w:r>
        <w:rPr>
          <w:rFonts w:hint="eastAsia" w:ascii="Times New Roman" w:hAnsi="Times New Roman" w:eastAsia="方正小标宋_GBK" w:cs="Times New Roman"/>
          <w:color w:val="auto"/>
          <w:kern w:val="0"/>
          <w:sz w:val="44"/>
          <w:szCs w:val="44"/>
          <w:lang w:val="en-US" w:eastAsia="zh-CN"/>
        </w:rPr>
        <w:t>2025年气体</w:t>
      </w:r>
      <w:r>
        <w:rPr>
          <w:rFonts w:hint="eastAsia" w:ascii="Times New Roman" w:hAnsi="Times New Roman" w:eastAsia="方正小标宋_GBK" w:cs="Times New Roman"/>
          <w:color w:val="auto"/>
          <w:kern w:val="0"/>
          <w:sz w:val="44"/>
          <w:szCs w:val="44"/>
        </w:rPr>
        <w:t>采购需求书</w:t>
      </w:r>
    </w:p>
    <w:p>
      <w:pPr>
        <w:rPr>
          <w:sz w:val="28"/>
          <w:szCs w:val="28"/>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24"/>
          <w:lang w:val="en-US" w:eastAsia="zh-CN"/>
        </w:rPr>
      </w:pPr>
      <w:r>
        <w:rPr>
          <w:rFonts w:hint="eastAsia" w:ascii="Times New Roman" w:hAnsi="Times New Roman" w:eastAsia="黑体" w:cs="Times New Roman"/>
          <w:color w:val="auto"/>
          <w:kern w:val="0"/>
          <w:sz w:val="32"/>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广州市生态环境局白云环境监测站2025年气体采购项目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（二）预算金额：人民币：18000.00元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（三）采购需求：</w:t>
      </w:r>
    </w:p>
    <w:tbl>
      <w:tblPr>
        <w:tblStyle w:val="8"/>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7"/>
        <w:gridCol w:w="1392"/>
        <w:gridCol w:w="1290"/>
        <w:gridCol w:w="768"/>
        <w:gridCol w:w="840"/>
        <w:gridCol w:w="181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类别</w:t>
            </w:r>
          </w:p>
        </w:tc>
        <w:tc>
          <w:tcPr>
            <w:tcW w:w="1392"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项目</w:t>
            </w:r>
          </w:p>
        </w:tc>
        <w:tc>
          <w:tcPr>
            <w:tcW w:w="1290"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稀释气</w:t>
            </w:r>
          </w:p>
        </w:tc>
        <w:tc>
          <w:tcPr>
            <w:tcW w:w="768" w:type="dxa"/>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数量</w:t>
            </w:r>
          </w:p>
          <w:p>
            <w:pPr>
              <w:pStyle w:val="2"/>
              <w:ind w:left="0" w:leftChars="0" w:firstLine="0" w:firstLineChars="0"/>
              <w:jc w:val="center"/>
              <w:rPr>
                <w:rFonts w:hint="default"/>
                <w:lang w:val="en-US" w:eastAsia="zh-CN"/>
              </w:rPr>
            </w:pPr>
            <w:r>
              <w:rPr>
                <w:rFonts w:hint="eastAsia" w:ascii="宋体" w:hAnsi="宋体" w:eastAsia="宋体" w:cs="宋体"/>
                <w:b w:val="0"/>
                <w:bCs w:val="0"/>
                <w:i w:val="0"/>
                <w:iCs w:val="0"/>
                <w:color w:val="000000"/>
                <w:kern w:val="0"/>
                <w:sz w:val="21"/>
                <w:szCs w:val="21"/>
                <w:u w:val="none"/>
                <w:lang w:val="en-US" w:eastAsia="zh-CN" w:bidi="ar"/>
              </w:rPr>
              <w:t>（瓶）</w:t>
            </w:r>
          </w:p>
        </w:tc>
        <w:tc>
          <w:tcPr>
            <w:tcW w:w="840"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规格</w:t>
            </w:r>
          </w:p>
        </w:tc>
        <w:tc>
          <w:tcPr>
            <w:tcW w:w="1812" w:type="dxa"/>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浓度或纯度</w:t>
            </w:r>
          </w:p>
        </w:tc>
        <w:tc>
          <w:tcPr>
            <w:tcW w:w="1173" w:type="dxa"/>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bookmarkStart w:id="0" w:name="OLE_LINK4" w:colFirst="6" w:colLast="6"/>
            <w:r>
              <w:rPr>
                <w:rFonts w:hint="eastAsia" w:ascii="宋体" w:hAnsi="宋体" w:eastAsia="宋体" w:cs="宋体"/>
                <w:b w:val="0"/>
                <w:bCs w:val="0"/>
                <w:sz w:val="21"/>
                <w:szCs w:val="21"/>
                <w:lang w:val="en-US" w:eastAsia="zh-CN"/>
              </w:rPr>
              <w:t>1</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高纯氩气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40L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＞99.999%</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高纯乙炔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40L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＞99.6%</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高纯氮气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＞99.999%</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除烃空气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总烃含量≤0.4mg/m³</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一氧化碳</w:t>
            </w:r>
          </w:p>
        </w:tc>
        <w:tc>
          <w:tcPr>
            <w:tcW w:w="1290" w:type="dxa"/>
            <w:vAlign w:val="center"/>
          </w:tcPr>
          <w:p>
            <w:pPr>
              <w:spacing w:line="400" w:lineRule="exact"/>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 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一氧化碳</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2000 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二氧化硫</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二氧化硫</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一氧化氮</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一氧化氮</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200.0mg/m3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氧气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二氧化氮</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30.0mg/m3</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普通氮气</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需提供7瓶10L气瓶更换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甲烷</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16μmol/mol</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甲烷</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4μmol/mol</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苯系物（苯、甲苯、对二甲苯、间二甲苯、邻二甲苯、乙苯、异丙苯、苯乙烯）</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高纯氮气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25μmol/mol</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甲烷</w:t>
            </w:r>
          </w:p>
        </w:tc>
        <w:tc>
          <w:tcPr>
            <w:tcW w:w="1290" w:type="dxa"/>
            <w:vAlign w:val="center"/>
          </w:tcPr>
          <w:p>
            <w:pPr>
              <w:spacing w:line="400" w:lineRule="exact"/>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500ppm</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甲烷</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10000ppm</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w:t>
            </w:r>
          </w:p>
        </w:tc>
        <w:tc>
          <w:tcPr>
            <w:tcW w:w="1197"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标准气体</w:t>
            </w:r>
          </w:p>
        </w:tc>
        <w:tc>
          <w:tcPr>
            <w:tcW w:w="139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异丁烯</w:t>
            </w:r>
          </w:p>
        </w:tc>
        <w:tc>
          <w:tcPr>
            <w:tcW w:w="129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空气</w:t>
            </w:r>
          </w:p>
        </w:tc>
        <w:tc>
          <w:tcPr>
            <w:tcW w:w="768"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40"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8L</w:t>
            </w:r>
          </w:p>
        </w:tc>
        <w:tc>
          <w:tcPr>
            <w:tcW w:w="1812" w:type="dxa"/>
            <w:vAlign w:val="center"/>
          </w:tcPr>
          <w:p>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500ppm</w:t>
            </w:r>
          </w:p>
        </w:tc>
        <w:tc>
          <w:tcPr>
            <w:tcW w:w="1173" w:type="dxa"/>
            <w:vAlign w:val="center"/>
          </w:tcPr>
          <w:p>
            <w:pPr>
              <w:spacing w:line="400" w:lineRule="exact"/>
              <w:jc w:val="center"/>
              <w:rPr>
                <w:rFonts w:hint="eastAsia" w:ascii="宋体" w:hAnsi="宋体" w:eastAsia="宋体" w:cs="宋体"/>
                <w:b w:val="0"/>
                <w:bCs w:val="0"/>
                <w:sz w:val="21"/>
                <w:szCs w:val="21"/>
                <w:lang w:val="en-US" w:eastAsia="zh-CN"/>
              </w:rPr>
            </w:pPr>
          </w:p>
        </w:tc>
      </w:tr>
    </w:tbl>
    <w:p>
      <w:pPr>
        <w:numPr>
          <w:ilvl w:val="0"/>
          <w:numId w:val="0"/>
        </w:numPr>
        <w:spacing w:line="560" w:lineRule="exact"/>
        <w:rPr>
          <w:rFonts w:hint="eastAsia" w:eastAsia="黑体"/>
          <w:sz w:val="32"/>
          <w:szCs w:val="32"/>
          <w:lang w:val="en-US" w:eastAsia="zh-CN"/>
        </w:rPr>
      </w:pPr>
    </w:p>
    <w:p>
      <w:pPr>
        <w:numPr>
          <w:ilvl w:val="0"/>
          <w:numId w:val="0"/>
        </w:numPr>
        <w:spacing w:line="560" w:lineRule="exact"/>
        <w:ind w:firstLine="320" w:firstLineChars="100"/>
        <w:rPr>
          <w:rFonts w:hint="eastAsia" w:ascii="Times New Roman" w:hAnsi="Times New Roman" w:eastAsia="仿宋_GB2312" w:cs="Times New Roman"/>
          <w:color w:val="auto"/>
          <w:kern w:val="0"/>
          <w:sz w:val="32"/>
          <w:szCs w:val="24"/>
          <w:lang w:val="en-US" w:eastAsia="zh-CN"/>
        </w:rPr>
      </w:pPr>
      <w:r>
        <w:rPr>
          <w:rFonts w:hint="eastAsia" w:eastAsia="黑体"/>
          <w:sz w:val="32"/>
          <w:szCs w:val="32"/>
          <w:lang w:val="en-US" w:eastAsia="zh-CN"/>
        </w:rPr>
        <w:t>二、</w:t>
      </w:r>
      <w:r>
        <w:rPr>
          <w:rFonts w:hint="eastAsia" w:eastAsia="黑体"/>
          <w:sz w:val="32"/>
          <w:szCs w:val="32"/>
        </w:rPr>
        <w:t>技术要求</w:t>
      </w:r>
    </w:p>
    <w:p>
      <w:pPr>
        <w:numPr>
          <w:ilvl w:val="0"/>
          <w:numId w:val="0"/>
        </w:numPr>
        <w:spacing w:line="560" w:lineRule="exact"/>
        <w:ind w:firstLine="320" w:firstLineChars="100"/>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楷体_GB2312" w:cs="Times New Roman"/>
          <w:b w:val="0"/>
          <w:bCs/>
          <w:color w:val="auto"/>
          <w:kern w:val="0"/>
          <w:sz w:val="32"/>
          <w:szCs w:val="24"/>
          <w:highlight w:val="none"/>
          <w:lang w:val="en-US" w:eastAsia="zh-CN"/>
        </w:rPr>
        <w:t>（一） 供应商资质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1.供应商必须是具有独立承担民事责任能力的在中华人民共和国境内注册的法人，报价时提交有效的企业法人营业执照（或事业法人登记证）、经营范围复印件或扫描件；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2.三年内，在经营活动中没有重大违法记录；(提供声明函）；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3.在 “信用中国”网站（www.creditchina.gov.cn）、中国政府采购网（www.ccgp.gov.cn）没有被列入失信被执行人、重大税收违法案件当事人名单（于报价期间在上述网站进行查询，对信息查询记录和证据截图或下载存档并加盖公司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24"/>
          <w:lang w:val="en-US" w:eastAsia="zh-CN"/>
        </w:rPr>
      </w:pPr>
      <w:r>
        <w:rPr>
          <w:rFonts w:hint="eastAsia" w:ascii="Times New Roman" w:hAnsi="Times New Roman" w:eastAsia="仿宋_GB2312" w:cs="Times New Roman"/>
          <w:color w:val="auto"/>
          <w:kern w:val="0"/>
          <w:sz w:val="32"/>
          <w:szCs w:val="24"/>
          <w:lang w:val="en-US" w:eastAsia="zh-CN"/>
        </w:rPr>
        <w:t>4.不接受有关联关系的不同供应商作为参与同一采购项目竞争的供应商。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 w:hAnsiTheme="minorEastAsia"/>
          <w:color w:val="000000"/>
          <w:kern w:val="0"/>
          <w:sz w:val="32"/>
          <w:szCs w:val="32"/>
        </w:rPr>
      </w:pPr>
      <w:r>
        <w:rPr>
          <w:rFonts w:hint="eastAsia" w:ascii="Times New Roman" w:hAnsi="Times New Roman" w:eastAsia="仿宋_GB2312" w:cs="Times New Roman"/>
          <w:color w:val="auto"/>
          <w:kern w:val="0"/>
          <w:sz w:val="32"/>
          <w:szCs w:val="24"/>
          <w:lang w:val="en-US" w:eastAsia="zh-CN"/>
        </w:rPr>
        <w:t>以上资料提供扫描件发至指定邮箱byhjjiance@by.gov.cn。</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（二）技术参数要求</w:t>
      </w:r>
    </w:p>
    <w:p>
      <w:pPr>
        <w:autoSpaceDE w:val="0"/>
        <w:autoSpaceDN w:val="0"/>
        <w:adjustRightInd w:val="0"/>
        <w:ind w:firstLine="640" w:firstLineChars="200"/>
        <w:jc w:val="left"/>
        <w:rPr>
          <w:rFonts w:hint="eastAsia" w:ascii="仿宋_GB2312" w:eastAsia="仿宋_GB2312" w:hAnsiTheme="minorEastAsia"/>
          <w:sz w:val="32"/>
          <w:szCs w:val="32"/>
        </w:rPr>
      </w:pPr>
      <w:r>
        <w:rPr>
          <w:rFonts w:hint="eastAsia" w:ascii="仿宋_GB2312" w:eastAsia="仿宋_GB2312" w:cs="仿宋" w:hAnsiTheme="minorEastAsia"/>
          <w:color w:val="000000"/>
          <w:kern w:val="0"/>
          <w:sz w:val="32"/>
          <w:szCs w:val="32"/>
        </w:rPr>
        <w:t>1.</w:t>
      </w:r>
      <w:r>
        <w:rPr>
          <w:rFonts w:hint="eastAsia" w:ascii="仿宋_GB2312" w:eastAsia="仿宋_GB2312" w:hAnsiTheme="minorEastAsia"/>
          <w:sz w:val="32"/>
          <w:szCs w:val="32"/>
        </w:rPr>
        <w:t>气体容器外观、检定周期等符合国家相关安全质量标准和技术规范要求，无破损、无任何缺陷隐患，在检定有效期内，在中国境内可依常规安全合法使用。</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hAnsiTheme="minorEastAsia"/>
          <w:sz w:val="32"/>
          <w:szCs w:val="32"/>
        </w:rPr>
        <w:t>2.所</w:t>
      </w:r>
      <w:r>
        <w:rPr>
          <w:rFonts w:hint="eastAsia" w:ascii="仿宋_GB2312" w:eastAsia="仿宋_GB2312" w:cs="仿宋" w:hAnsiTheme="minorEastAsia"/>
          <w:color w:val="000000"/>
          <w:kern w:val="0"/>
          <w:sz w:val="32"/>
          <w:szCs w:val="32"/>
        </w:rPr>
        <w:t>有货物必须完好，无破损</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外观清洁，标记编号字体清晰。</w:t>
      </w:r>
      <w:r>
        <w:rPr>
          <w:rFonts w:hint="eastAsia" w:ascii="仿宋_GB2312" w:eastAsia="仿宋_GB2312" w:hAnsiTheme="minorEastAsia"/>
          <w:sz w:val="32"/>
          <w:szCs w:val="32"/>
        </w:rPr>
        <w:t>气体为未使用的全新灌装气体，</w:t>
      </w:r>
      <w:r>
        <w:rPr>
          <w:rFonts w:hint="eastAsia" w:ascii="仿宋_GB2312" w:eastAsia="仿宋_GB2312" w:cs="仿宋" w:hAnsiTheme="minorEastAsia"/>
          <w:color w:val="000000"/>
          <w:kern w:val="0"/>
          <w:sz w:val="32"/>
          <w:szCs w:val="32"/>
        </w:rPr>
        <w:t>容量、纯度</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lang w:val="en-US" w:eastAsia="zh-CN"/>
        </w:rPr>
        <w:t>数量、质量需满足</w:t>
      </w:r>
      <w:r>
        <w:rPr>
          <w:rFonts w:hint="eastAsia" w:ascii="仿宋_GB2312" w:eastAsia="仿宋_GB2312" w:cs="仿宋" w:hAnsiTheme="minorEastAsia"/>
          <w:color w:val="000000"/>
          <w:kern w:val="0"/>
          <w:sz w:val="32"/>
          <w:szCs w:val="32"/>
        </w:rPr>
        <w:t>本需求书中提出的要求。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w:t>
      </w:r>
      <w:r>
        <w:rPr>
          <w:rFonts w:hint="eastAsia" w:eastAsia="仿宋_GB2312"/>
          <w:color w:val="102401"/>
          <w:kern w:val="0"/>
          <w:sz w:val="32"/>
          <w:szCs w:val="32"/>
          <w:lang w:val="en-US" w:eastAsia="zh-CN"/>
        </w:rPr>
        <w:t>气体</w:t>
      </w:r>
      <w:r>
        <w:rPr>
          <w:rFonts w:eastAsia="仿宋_GB2312"/>
          <w:color w:val="102401"/>
          <w:kern w:val="0"/>
          <w:sz w:val="32"/>
          <w:szCs w:val="32"/>
        </w:rPr>
        <w:t>必须提供相应的</w:t>
      </w:r>
      <w:r>
        <w:rPr>
          <w:rFonts w:hint="eastAsia" w:eastAsia="仿宋_GB2312"/>
          <w:color w:val="102401"/>
          <w:kern w:val="0"/>
          <w:sz w:val="32"/>
          <w:szCs w:val="32"/>
          <w:lang w:val="en-US" w:eastAsia="zh-CN"/>
        </w:rPr>
        <w:t>标准物质</w:t>
      </w:r>
      <w:r>
        <w:rPr>
          <w:rFonts w:eastAsia="仿宋_GB2312"/>
          <w:color w:val="102401"/>
          <w:kern w:val="0"/>
          <w:sz w:val="32"/>
          <w:szCs w:val="32"/>
        </w:rPr>
        <w:t>证书且符合要求</w:t>
      </w:r>
      <w:r>
        <w:rPr>
          <w:rFonts w:hint="eastAsia" w:eastAsia="仿宋_GB2312"/>
          <w:color w:val="102401"/>
          <w:kern w:val="0"/>
          <w:sz w:val="32"/>
          <w:szCs w:val="32"/>
        </w:rPr>
        <w:t>。</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pPr>
        <w:spacing w:line="560" w:lineRule="exact"/>
        <w:ind w:firstLine="640" w:firstLineChars="200"/>
        <w:rPr>
          <w:rFonts w:eastAsia="黑体"/>
          <w:sz w:val="32"/>
          <w:szCs w:val="32"/>
        </w:rPr>
      </w:pPr>
      <w:r>
        <w:rPr>
          <w:rFonts w:hint="eastAsia" w:eastAsia="黑体"/>
          <w:sz w:val="32"/>
          <w:szCs w:val="32"/>
        </w:rPr>
        <w:t>三、交货时间、方式及地点</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根据白云环境监测站</w:t>
      </w:r>
      <w:bookmarkStart w:id="1" w:name="OLE_LINK2"/>
      <w:r>
        <w:rPr>
          <w:rFonts w:hint="eastAsia" w:ascii="仿宋_GB2312" w:eastAsia="仿宋_GB2312" w:hAnsiTheme="minorEastAsia"/>
          <w:sz w:val="32"/>
          <w:szCs w:val="32"/>
          <w:lang w:val="en-US" w:eastAsia="zh-CN"/>
        </w:rPr>
        <w:t>实际工作具体需求分批供货，接到供货需求后7日将货物送到</w:t>
      </w:r>
      <w:r>
        <w:rPr>
          <w:rFonts w:hint="eastAsia" w:ascii="仿宋_GB2312" w:eastAsia="仿宋_GB2312" w:hAnsiTheme="minorEastAsia"/>
          <w:sz w:val="32"/>
          <w:szCs w:val="32"/>
        </w:rPr>
        <w:t>。</w:t>
      </w:r>
    </w:p>
    <w:bookmarkEnd w:id="1"/>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pPr>
        <w:spacing w:line="600" w:lineRule="exact"/>
        <w:ind w:firstLine="645"/>
        <w:rPr>
          <w:rFonts w:hint="eastAsia"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w:t>
      </w:r>
      <w:r>
        <w:rPr>
          <w:rFonts w:hint="eastAsia" w:ascii="仿宋_GB2312" w:hAnsi="方正小标宋简体" w:eastAsia="仿宋_GB2312" w:cs="方正小标宋简体"/>
          <w:sz w:val="32"/>
          <w:szCs w:val="32"/>
          <w:lang w:eastAsia="zh-CN"/>
        </w:rPr>
        <w:t>白云</w:t>
      </w:r>
      <w:r>
        <w:rPr>
          <w:rFonts w:hint="eastAsia" w:ascii="仿宋_GB2312" w:hAnsi="方正小标宋简体" w:eastAsia="仿宋_GB2312" w:cs="方正小标宋简体"/>
          <w:sz w:val="32"/>
          <w:szCs w:val="32"/>
        </w:rPr>
        <w:t>环境监测站</w:t>
      </w:r>
      <w:r>
        <w:rPr>
          <w:rFonts w:hint="eastAsia" w:ascii="仿宋_GB2312" w:eastAsia="仿宋_GB2312" w:cs="仿宋" w:hAnsiTheme="minorEastAsia"/>
          <w:color w:val="000000"/>
          <w:kern w:val="0"/>
          <w:sz w:val="32"/>
          <w:szCs w:val="32"/>
        </w:rPr>
        <w:t>——广州市白云区启德路29号联边公园3号楼一楼。</w:t>
      </w:r>
    </w:p>
    <w:p>
      <w:pPr>
        <w:spacing w:line="560" w:lineRule="exact"/>
        <w:ind w:firstLine="640" w:firstLineChars="200"/>
        <w:rPr>
          <w:rFonts w:eastAsia="黑体"/>
          <w:sz w:val="32"/>
          <w:szCs w:val="32"/>
        </w:rPr>
      </w:pPr>
      <w:r>
        <w:rPr>
          <w:rFonts w:hint="eastAsia" w:eastAsia="黑体"/>
          <w:sz w:val="32"/>
          <w:szCs w:val="32"/>
        </w:rPr>
        <w:t>四、验收要求</w:t>
      </w:r>
    </w:p>
    <w:p>
      <w:pPr>
        <w:ind w:firstLine="320" w:firstLineChars="1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气体容器完整，表面无划损、无任何缺陷隐患，在检定期内， 在中国境内可依常规安全合法使用</w:t>
      </w:r>
    </w:p>
    <w:p>
      <w:pPr>
        <w:ind w:firstLine="320" w:firstLineChars="1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（二）气体为全新灌装气体，气压、容量、纯度等所有技术性能规格及参数达到采购需求要求和国家相关标准要求。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（三）产品</w:t>
      </w:r>
      <w:r>
        <w:rPr>
          <w:rFonts w:hint="eastAsia" w:ascii="仿宋_GB2312" w:eastAsia="仿宋_GB2312" w:hAnsiTheme="minorEastAsia"/>
          <w:sz w:val="32"/>
          <w:szCs w:val="32"/>
          <w:lang w:val="en-US" w:eastAsia="zh-CN"/>
        </w:rPr>
        <w:t>标识清晰，提供合格证或检测报告，标准气体提供标准物质证书并满足要求。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四</w:t>
      </w:r>
      <w:r>
        <w:rPr>
          <w:rFonts w:hint="eastAsia" w:ascii="仿宋_GB2312" w:eastAsia="仿宋_GB2312" w:hAnsiTheme="minorEastAsia"/>
          <w:sz w:val="32"/>
          <w:szCs w:val="32"/>
        </w:rPr>
        <w:t>）不满足验收标准的，应免费更换产品直至通过验收。</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五</w:t>
      </w:r>
      <w:r>
        <w:rPr>
          <w:rFonts w:hint="eastAsia" w:ascii="仿宋_GB2312" w:eastAsia="仿宋_GB2312" w:hAnsiTheme="minorEastAsia"/>
          <w:sz w:val="32"/>
          <w:szCs w:val="32"/>
        </w:rPr>
        <w:t>）验收过程中所产生的所有费用由供应商承担。</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、付款方式</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收到发票</w:t>
      </w:r>
      <w:r>
        <w:rPr>
          <w:rFonts w:hint="eastAsia" w:ascii="仿宋_GB2312" w:eastAsia="仿宋_GB2312" w:hAnsiTheme="minorEastAsia"/>
          <w:sz w:val="32"/>
          <w:szCs w:val="32"/>
        </w:rPr>
        <w:t>后10个工作日全额支付。</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二）因采购方使用的是财政资金，前款规定的付款时间为财政资金到达后需方向政府财政支付部门提出办理财政支付申请手续的时间（不含政府财政支付部门审核的时间），需方在上述时间内提出财政申请手续视为已经按期支付，供方不得追究需方任何逾期支付的违约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eastAsia="黑体" w:asciiTheme="minorHAnsi" w:hAnsiTheme="minorHAnsi"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六、售后服务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 xml:space="preserve"> </w:t>
      </w:r>
      <w:r>
        <w:rPr>
          <w:rFonts w:hint="eastAsia" w:ascii="仿宋_GB2312" w:eastAsia="仿宋_GB2312" w:hAnsiTheme="minorEastAsia" w:cstheme="minorBidi"/>
          <w:kern w:val="2"/>
          <w:sz w:val="32"/>
          <w:szCs w:val="32"/>
          <w:lang w:val="en-US" w:eastAsia="zh-CN" w:bidi="ar-SA"/>
        </w:rPr>
        <w:t>（一）质保期一年，</w:t>
      </w:r>
      <w:bookmarkStart w:id="2" w:name="_GoBack"/>
      <w:bookmarkEnd w:id="2"/>
      <w:r>
        <w:rPr>
          <w:rFonts w:hint="eastAsia" w:ascii="仿宋_GB2312" w:eastAsia="仿宋_GB2312" w:hAnsiTheme="minorEastAsia" w:cstheme="minorBidi"/>
          <w:kern w:val="2"/>
          <w:sz w:val="32"/>
          <w:szCs w:val="32"/>
          <w:lang w:val="en-US" w:eastAsia="zh-CN" w:bidi="ar-SA"/>
        </w:rPr>
        <w:t>质保期内对所供货物实行包修、包换、包退、包维护保养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（二）收到服务通知能及时响应。若出现泄压、漏气、气瓶磨损等无法使用的，能接报后免费更换气体。</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（三）当气瓶出现周转不够时，能免费提供气瓶或钢瓶以供周转，待双方协议终止时收回气瓶。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default" w:ascii="仿宋_GB2312" w:eastAsia="仿宋_GB2312" w:hAnsiTheme="minorEastAsia" w:cstheme="minorBidi"/>
          <w:kern w:val="2"/>
          <w:sz w:val="32"/>
          <w:szCs w:val="32"/>
          <w:lang w:val="en-US" w:eastAsia="zh-CN" w:bidi="ar-SA"/>
        </w:rPr>
      </w:pPr>
    </w:p>
    <w:p>
      <w:pPr>
        <w:ind w:firstLine="320" w:firstLineChars="100"/>
        <w:rPr>
          <w:rFonts w:hint="eastAsia"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02E3014B"/>
    <w:rsid w:val="07631E0F"/>
    <w:rsid w:val="086F570F"/>
    <w:rsid w:val="09CF1DD2"/>
    <w:rsid w:val="0C534445"/>
    <w:rsid w:val="11830CB3"/>
    <w:rsid w:val="11A021F8"/>
    <w:rsid w:val="136278DA"/>
    <w:rsid w:val="1C3B12FF"/>
    <w:rsid w:val="1DB74D11"/>
    <w:rsid w:val="1DBC56E0"/>
    <w:rsid w:val="24302A24"/>
    <w:rsid w:val="244D3EDE"/>
    <w:rsid w:val="2738406F"/>
    <w:rsid w:val="2CBC18A1"/>
    <w:rsid w:val="2E405463"/>
    <w:rsid w:val="2F3C7381"/>
    <w:rsid w:val="31ED4C48"/>
    <w:rsid w:val="32BD3E74"/>
    <w:rsid w:val="335510F1"/>
    <w:rsid w:val="37644C4D"/>
    <w:rsid w:val="38681C72"/>
    <w:rsid w:val="3F8027F8"/>
    <w:rsid w:val="40421FDC"/>
    <w:rsid w:val="45880D21"/>
    <w:rsid w:val="4AE220A0"/>
    <w:rsid w:val="4C373527"/>
    <w:rsid w:val="4D282870"/>
    <w:rsid w:val="4F257BDD"/>
    <w:rsid w:val="4F8E6612"/>
    <w:rsid w:val="4FCA2078"/>
    <w:rsid w:val="518F5ACD"/>
    <w:rsid w:val="53BC3020"/>
    <w:rsid w:val="55067F6F"/>
    <w:rsid w:val="5860518C"/>
    <w:rsid w:val="597D0CB6"/>
    <w:rsid w:val="5D6C317B"/>
    <w:rsid w:val="5FD54E9D"/>
    <w:rsid w:val="605112B0"/>
    <w:rsid w:val="620E6CD0"/>
    <w:rsid w:val="64383303"/>
    <w:rsid w:val="64D83F33"/>
    <w:rsid w:val="6525169D"/>
    <w:rsid w:val="677C6D04"/>
    <w:rsid w:val="6BB85D08"/>
    <w:rsid w:val="6DB85259"/>
    <w:rsid w:val="6DF209AE"/>
    <w:rsid w:val="6E8C07AD"/>
    <w:rsid w:val="71A46F17"/>
    <w:rsid w:val="729F00B2"/>
    <w:rsid w:val="74B11F3F"/>
    <w:rsid w:val="77EC0EE7"/>
    <w:rsid w:val="7A231684"/>
    <w:rsid w:val="7A2F6B9A"/>
    <w:rsid w:val="7C5B68A9"/>
    <w:rsid w:val="7C7649CC"/>
    <w:rsid w:val="7E025E7F"/>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szCs w:val="21"/>
    </w:rPr>
  </w:style>
  <w:style w:type="paragraph" w:styleId="3">
    <w:name w:val="toc 4"/>
    <w:basedOn w:val="1"/>
    <w:next w:val="1"/>
    <w:qFormat/>
    <w:uiPriority w:val="0"/>
    <w:pPr>
      <w:spacing w:line="240" w:lineRule="auto"/>
      <w:ind w:left="1260" w:firstLine="0" w:firstLineChars="0"/>
    </w:pPr>
    <w:rPr>
      <w:rFonts w:ascii="等线" w:hAnsi="等线" w:eastAsia="等线" w:cs="Times New Roman"/>
      <w:spacing w:val="0"/>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11">
    <w:name w:val="List Paragraph"/>
    <w:basedOn w:val="1"/>
    <w:link w:val="12"/>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12">
    <w:name w:val="列表段落 字符"/>
    <w:link w:val="11"/>
    <w:qFormat/>
    <w:locked/>
    <w:uiPriority w:val="99"/>
    <w:rPr>
      <w:rFonts w:ascii="Calibri" w:hAnsi="Calibri" w:eastAsia="宋体" w:cs="Times New Roman"/>
      <w:sz w:val="24"/>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sz w:val="18"/>
      <w:szCs w:val="18"/>
    </w:rPr>
  </w:style>
  <w:style w:type="character" w:customStyle="1" w:styleId="16">
    <w:name w:val="font21"/>
    <w:basedOn w:val="9"/>
    <w:qFormat/>
    <w:uiPriority w:val="0"/>
    <w:rPr>
      <w:rFonts w:hint="eastAsia" w:ascii="宋体" w:hAnsi="宋体" w:eastAsia="宋体" w:cs="宋体"/>
      <w:color w:val="000000"/>
      <w:sz w:val="28"/>
      <w:szCs w:val="28"/>
      <w:u w:val="none"/>
    </w:rPr>
  </w:style>
  <w:style w:type="character" w:customStyle="1" w:styleId="17">
    <w:name w:val="font01"/>
    <w:basedOn w:val="9"/>
    <w:qFormat/>
    <w:uiPriority w:val="0"/>
    <w:rPr>
      <w:rFonts w:hint="eastAsia" w:ascii="宋体" w:hAnsi="宋体" w:eastAsia="宋体" w:cs="宋体"/>
      <w:color w:val="000000"/>
      <w:sz w:val="28"/>
      <w:szCs w:val="28"/>
      <w:u w:val="none"/>
      <w:vertAlign w:val="subscript"/>
    </w:rPr>
  </w:style>
  <w:style w:type="character" w:customStyle="1" w:styleId="18">
    <w:name w:val="font1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987</Words>
  <Characters>1050</Characters>
  <Lines>7</Lines>
  <Paragraphs>2</Paragraphs>
  <TotalTime>16</TotalTime>
  <ScaleCrop>false</ScaleCrop>
  <LinksUpToDate>false</LinksUpToDate>
  <CharactersWithSpaces>1052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byhb</cp:lastModifiedBy>
  <dcterms:modified xsi:type="dcterms:W3CDTF">2025-11-05T09:34:58Z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6BE83B0958294DB992690C148C05EE1E</vt:lpwstr>
  </property>
</Properties>
</file>