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outlineLvl w:val="0"/>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综合评分表</w:t>
      </w:r>
    </w:p>
    <w:p>
      <w:pPr>
        <w:keepNext w:val="0"/>
        <w:keepLines w:val="0"/>
        <w:pageBreakBefore w:val="0"/>
        <w:widowControl w:val="0"/>
        <w:kinsoku/>
        <w:wordWrap/>
        <w:overflowPunct/>
        <w:topLinePunct w:val="0"/>
        <w:autoSpaceDE/>
        <w:autoSpaceDN/>
        <w:bidi w:val="0"/>
        <w:adjustRightInd/>
        <w:snapToGrid/>
        <w:spacing w:beforeLines="0" w:line="4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640" w:firstLineChars="200"/>
        <w:textAlignment w:val="auto"/>
        <w:rPr>
          <w:rFonts w:hint="eastAsia"/>
          <w:lang w:val="en-US" w:eastAsia="zh-CN"/>
        </w:rPr>
      </w:pPr>
      <w:r>
        <w:rPr>
          <w:rFonts w:hint="default" w:ascii="Times New Roman" w:hAnsi="Times New Roman" w:eastAsia="仿宋_GB2312" w:cs="Times New Roman"/>
          <w:sz w:val="32"/>
          <w:szCs w:val="32"/>
        </w:rPr>
        <w:t>投标人应如实提交《综合评分表》要求提交的相关各类证明、资料等并应加盖投标人公章，投标人如未按要求提交的，该项评分为零分。</w:t>
      </w:r>
      <w:r>
        <w:rPr>
          <w:rFonts w:hint="default" w:ascii="Times New Roman" w:hAnsi="Times New Roman" w:eastAsia="仿宋_GB2312" w:cs="Times New Roman"/>
          <w:sz w:val="32"/>
          <w:szCs w:val="32"/>
          <w:lang w:eastAsia="zh-CN"/>
        </w:rPr>
        <w:t>评标结果</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rPr>
        <w:t>评标委员会各成员分值的算术平均值（四舍五入后，小数点后保留两位有效数）</w:t>
      </w:r>
      <w:r>
        <w:rPr>
          <w:rFonts w:hint="default" w:ascii="Times New Roman" w:hAnsi="Times New Roman" w:eastAsia="仿宋_GB2312" w:cs="Times New Roman"/>
          <w:sz w:val="32"/>
          <w:szCs w:val="32"/>
          <w:lang w:eastAsia="zh-CN"/>
        </w:rPr>
        <w:t>，得分最高者为第一中标候选人</w:t>
      </w:r>
      <w:r>
        <w:rPr>
          <w:rFonts w:hint="default" w:ascii="Times New Roman" w:hAnsi="Times New Roman" w:eastAsia="仿宋_GB2312" w:cs="Times New Roman"/>
          <w:kern w:val="2"/>
          <w:sz w:val="32"/>
          <w:szCs w:val="32"/>
          <w:lang w:val="en-US" w:eastAsia="zh-CN" w:bidi="ar-SA"/>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496"/>
        <w:gridCol w:w="7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shd w:val="clear" w:color="auto" w:fill="auto"/>
            <w:vAlign w:val="center"/>
          </w:tcPr>
          <w:p>
            <w:pPr>
              <w:spacing w:line="360" w:lineRule="auto"/>
              <w:jc w:val="center"/>
              <w:rPr>
                <w:rFonts w:hint="default" w:ascii="Times New Roman" w:hAnsi="Times New Roman" w:eastAsia="仿宋_GB2312" w:cs="Times New Roman"/>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评审内容</w:t>
            </w:r>
          </w:p>
        </w:tc>
        <w:tc>
          <w:tcPr>
            <w:tcW w:w="496" w:type="dxa"/>
            <w:shd w:val="clear" w:color="auto" w:fill="auto"/>
            <w:vAlign w:val="center"/>
          </w:tcPr>
          <w:p>
            <w:pPr>
              <w:spacing w:line="360" w:lineRule="auto"/>
              <w:jc w:val="center"/>
              <w:rPr>
                <w:rFonts w:hint="default" w:ascii="Times New Roman" w:hAnsi="Times New Roman" w:eastAsia="仿宋_GB2312" w:cs="Times New Roman"/>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分值</w:t>
            </w:r>
          </w:p>
        </w:tc>
        <w:tc>
          <w:tcPr>
            <w:tcW w:w="7259" w:type="dxa"/>
            <w:shd w:val="clear" w:color="auto" w:fill="auto"/>
            <w:vAlign w:val="center"/>
          </w:tcPr>
          <w:p>
            <w:pPr>
              <w:spacing w:line="360" w:lineRule="auto"/>
              <w:jc w:val="center"/>
              <w:rPr>
                <w:rFonts w:hint="default" w:ascii="Times New Roman" w:hAnsi="Times New Roman" w:eastAsia="仿宋_GB2312" w:cs="Times New Roman"/>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22" w:type="dxa"/>
            <w:gridSpan w:val="3"/>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技术部分（</w:t>
            </w:r>
            <w:r>
              <w:rPr>
                <w:rFonts w:hint="eastAsia" w:eastAsia="仿宋_GB2312" w:cs="Times New Roman"/>
                <w:b/>
                <w:color w:val="000000" w:themeColor="text1"/>
                <w:sz w:val="32"/>
                <w:szCs w:val="32"/>
                <w:highlight w:val="none"/>
                <w:lang w:val="en-US" w:eastAsia="zh-CN"/>
                <w14:textFill>
                  <w14:solidFill>
                    <w14:schemeClr w14:val="tx1"/>
                  </w14:solidFill>
                </w14:textFill>
              </w:rPr>
              <w:t>45</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tabs>
                <w:tab w:val="left" w:pos="391"/>
              </w:tabs>
              <w:adjustRightInd w:val="0"/>
              <w:snapToGrid w:val="0"/>
              <w:spacing w:line="360" w:lineRule="auto"/>
              <w:jc w:val="center"/>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实施方案</w:t>
            </w:r>
          </w:p>
        </w:tc>
        <w:tc>
          <w:tcPr>
            <w:tcW w:w="496" w:type="dxa"/>
            <w:vAlign w:val="center"/>
          </w:tcPr>
          <w:p>
            <w:pPr>
              <w:adjustRightInd w:val="0"/>
              <w:snapToGrid w:val="0"/>
              <w:spacing w:line="360" w:lineRule="auto"/>
              <w:jc w:val="center"/>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t>15</w:t>
            </w:r>
          </w:p>
        </w:tc>
        <w:tc>
          <w:tcPr>
            <w:tcW w:w="7259" w:type="dxa"/>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根据供应商提供的实施方案（内容包括实施方案的整体组织思路、</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帮扶方法</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、成果报告编制等，且上述内容能按相关法律法规和技术规范进行编写）的完整性、可行性、科学性等情况进行分析后评分：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1、提供的实施方案完整且详细、科学合理、可行性强，优于招标文件要求的得</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2、提供实施方案基本完整、较科学合理、可行性较强，可满足招标文件要求得</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3、提供的实施方案基本完整性一般、可行性一般，基本满足招标文件要求得</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4、提供的实施方案完整性较差、可行性较差，部分响应内容不能满足招标文件要求的得1分。</w:t>
            </w:r>
          </w:p>
          <w:p>
            <w:pPr>
              <w:pStyle w:val="7"/>
              <w:widowControl/>
              <w:spacing w:after="0"/>
              <w:jc w:val="left"/>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注：未提供方案则不予计分。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adjustRightInd w:val="0"/>
              <w:snapToGrid w:val="0"/>
              <w:spacing w:line="360" w:lineRule="auto"/>
              <w:jc w:val="center"/>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保障措施</w:t>
            </w:r>
          </w:p>
        </w:tc>
        <w:tc>
          <w:tcPr>
            <w:tcW w:w="496" w:type="dxa"/>
            <w:vAlign w:val="center"/>
          </w:tcPr>
          <w:p>
            <w:pPr>
              <w:adjustRightInd w:val="0"/>
              <w:snapToGrid w:val="0"/>
              <w:spacing w:line="360" w:lineRule="auto"/>
              <w:jc w:val="center"/>
              <w:rPr>
                <w:rFonts w:hint="eastAsia"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w:t>
            </w:r>
            <w:r>
              <w:rPr>
                <w:rFonts w:hint="eastAsia" w:eastAsia="仿宋_GB2312" w:cs="Times New Roman"/>
                <w:bCs/>
                <w:color w:val="000000" w:themeColor="text1"/>
                <w:sz w:val="24"/>
                <w:szCs w:val="24"/>
                <w:highlight w:val="none"/>
                <w:lang w:val="en-US" w:eastAsia="zh-CN"/>
                <w14:textFill>
                  <w14:solidFill>
                    <w14:schemeClr w14:val="tx1"/>
                  </w14:solidFill>
                </w14:textFill>
              </w:rPr>
              <w:t>5</w:t>
            </w:r>
          </w:p>
        </w:tc>
        <w:tc>
          <w:tcPr>
            <w:tcW w:w="7259" w:type="dxa"/>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根据供应商提供的针对本项目拟定的质量保障措施和质量管理制度进行分析后评分：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1、质量管理制度全面、完整，质量保障措施可行性强的得</w:t>
            </w:r>
            <w:r>
              <w:rPr>
                <w:rFonts w:hint="eastAsia" w:eastAsia="仿宋_GB2312"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2、质量管理制度较全面、完整，质量保障措施可行的得</w:t>
            </w:r>
            <w:r>
              <w:rPr>
                <w:rFonts w:hint="eastAsia" w:eastAsia="仿宋_GB2312"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3、质量管理制度基本全面、完整，质量保障措施基本可行的得</w:t>
            </w:r>
            <w:r>
              <w:rPr>
                <w:rFonts w:hint="eastAsia" w:eastAsia="仿宋_GB2312"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、质量管理制度不全面、不完整，质量保障措施部分不可行的得1分。</w:t>
            </w:r>
          </w:p>
          <w:p>
            <w:pPr>
              <w:spacing w:line="300" w:lineRule="exact"/>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注：无则不予计分。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spacing w:line="300" w:lineRule="exact"/>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服务承诺</w:t>
            </w:r>
          </w:p>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p>
        </w:tc>
        <w:tc>
          <w:tcPr>
            <w:tcW w:w="496"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eastAsia="仿宋_GB2312" w:cs="Times New Roman"/>
                <w:color w:val="000000" w:themeColor="text1"/>
                <w:kern w:val="2"/>
                <w:sz w:val="24"/>
                <w:szCs w:val="24"/>
                <w:highlight w:val="none"/>
                <w:lang w:val="en-US" w:eastAsia="zh-CN" w:bidi="ar-SA"/>
                <w14:textFill>
                  <w14:solidFill>
                    <w14:schemeClr w14:val="tx1"/>
                  </w14:solidFill>
                </w14:textFill>
              </w:rPr>
              <w:t>15</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针对本项目的需求制定项目完成（服务期满）后的服务承诺等内容进行评审</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p>
            <w:pPr>
              <w:spacing w:line="300" w:lineRule="exact"/>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评审</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标准</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1.项目完成（服务期满）后的服务承诺考虑本需求所有工作内容；</w:t>
            </w:r>
          </w:p>
          <w:p>
            <w:pPr>
              <w:spacing w:line="300" w:lineRule="exact"/>
              <w:rPr>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2.投标人在投标文件中提供后期服务承诺书</w:t>
            </w:r>
            <w:r>
              <w:rPr>
                <w:rFonts w:hint="eastAsia" w:eastAsia="仿宋_GB2312" w:cs="Times New Roman"/>
                <w:color w:val="000000" w:themeColor="text1"/>
                <w:sz w:val="24"/>
                <w:szCs w:val="24"/>
                <w:highlight w:val="none"/>
                <w:lang w:eastAsia="zh-CN"/>
                <w14:textFill>
                  <w14:solidFill>
                    <w14:schemeClr w14:val="tx1"/>
                  </w14:solidFill>
                </w14:textFill>
              </w:rPr>
              <w:t>；</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3.投标人有专业团队负责后期技术支持，并提供其联系手机、电话、传真、Email，项目完成（服务期满）后的服务承诺明确项目验收后，若采购方有问题需要咨询，将提供免费的咨询和修改服务。</w:t>
            </w:r>
          </w:p>
          <w:p>
            <w:pPr>
              <w:spacing w:line="300" w:lineRule="exact"/>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满足以上3项的得</w:t>
            </w:r>
            <w:r>
              <w:rPr>
                <w:rFonts w:hint="eastAsia" w:eastAsia="仿宋_GB2312"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分，其他情况不得分</w:t>
            </w:r>
            <w:r>
              <w:rPr>
                <w:rFonts w:hint="eastAsia" w:eastAsia="仿宋_GB2312" w:cs="Times New Roman"/>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22" w:type="dxa"/>
            <w:gridSpan w:val="3"/>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商务部分（</w:t>
            </w:r>
            <w:r>
              <w:rPr>
                <w:rFonts w:hint="eastAsia" w:eastAsia="仿宋_GB2312" w:cs="Times New Roman"/>
                <w:b/>
                <w:color w:val="000000" w:themeColor="text1"/>
                <w:sz w:val="32"/>
                <w:szCs w:val="32"/>
                <w:highlight w:val="none"/>
                <w:lang w:val="en-US" w:eastAsia="zh-CN"/>
                <w14:textFill>
                  <w14:solidFill>
                    <w14:schemeClr w14:val="tx1"/>
                  </w14:solidFill>
                </w14:textFill>
              </w:rPr>
              <w:t>40</w:t>
            </w: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67" w:type="dxa"/>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相关业绩</w:t>
            </w:r>
          </w:p>
        </w:tc>
        <w:tc>
          <w:tcPr>
            <w:tcW w:w="496" w:type="dxa"/>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8</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供应商自2022年1月1日以来（以合同签订时间为准）</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,承接过生态主管部门</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委托的</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核技术利用项目帮扶、核技术利用风险评估类</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业绩情况：每提供一份合同得</w:t>
            </w:r>
            <w:r>
              <w:rPr>
                <w:rFonts w:hint="eastAsia" w:eastAsia="仿宋_GB2312"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分，满分</w:t>
            </w:r>
            <w:r>
              <w:rPr>
                <w:rFonts w:hint="eastAsia" w:eastAsia="仿宋_GB2312"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注：响应文件中提供合同复印件加盖供应商公章。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满意度评价</w:t>
            </w:r>
          </w:p>
        </w:tc>
        <w:tc>
          <w:tcPr>
            <w:tcW w:w="496" w:type="dxa"/>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8</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供应商提供上述的2022年1月1日至今的同类项目经验的用户单位出具的满意度评价，评价情况至少须为“满意”或类似好评的，每个得</w:t>
            </w:r>
            <w:r>
              <w:rPr>
                <w:rFonts w:hint="eastAsia" w:eastAsia="仿宋_GB2312"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分，最高得</w:t>
            </w:r>
            <w:r>
              <w:rPr>
                <w:rFonts w:hint="eastAsia" w:eastAsia="仿宋_GB2312"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注：响应文件中需提供带有客户公章的满意评价复印件加盖供应商公章，无则不予计分。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管理体系</w:t>
            </w:r>
          </w:p>
        </w:tc>
        <w:tc>
          <w:tcPr>
            <w:tcW w:w="496"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eastAsia="仿宋_GB2312" w:cs="Times New Roman"/>
                <w:color w:val="000000" w:themeColor="text1"/>
                <w:kern w:val="2"/>
                <w:sz w:val="24"/>
                <w:szCs w:val="24"/>
                <w:highlight w:val="none"/>
                <w:lang w:val="en-US" w:eastAsia="zh-CN" w:bidi="ar-SA"/>
                <w14:textFill>
                  <w14:solidFill>
                    <w14:schemeClr w14:val="tx1"/>
                  </w14:solidFill>
                </w14:textFill>
              </w:rPr>
              <w:t>6</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供应商具有质量管理体系认证、环境管理体系认证、职业健康安全管理体系认证证书</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每提供1项得</w:t>
            </w:r>
            <w:r>
              <w:rPr>
                <w:rFonts w:hint="eastAsia"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分，最高得</w:t>
            </w:r>
            <w:r>
              <w:rPr>
                <w:rFonts w:hint="eastAsia" w:eastAsia="仿宋_GB2312"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分。</w:t>
            </w:r>
          </w:p>
          <w:p>
            <w:pPr>
              <w:spacing w:line="300" w:lineRule="exact"/>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注：响应文件中须提供有效的证书复印件加盖供应商公章，无则不予计分。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团队人员</w:t>
            </w:r>
          </w:p>
        </w:tc>
        <w:tc>
          <w:tcPr>
            <w:tcW w:w="496"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eastAsia="仿宋_GB2312" w:cs="Times New Roman"/>
                <w:color w:val="000000" w:themeColor="text1"/>
                <w:kern w:val="2"/>
                <w:sz w:val="24"/>
                <w:szCs w:val="24"/>
                <w:highlight w:val="none"/>
                <w:lang w:val="en-US" w:eastAsia="zh-CN" w:bidi="ar-SA"/>
                <w14:textFill>
                  <w14:solidFill>
                    <w14:schemeClr w14:val="tx1"/>
                  </w14:solidFill>
                </w14:textFill>
              </w:rPr>
              <w:t>3</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供应商拟派技术团队中项目负责人具备环境或辐射类相关专业高级职称</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且</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有</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年以上</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辐射</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相关工作经验</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的，得</w:t>
            </w:r>
            <w:r>
              <w:rPr>
                <w:rFonts w:hint="eastAsia" w:eastAsia="仿宋_GB2312"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分。其余不得分。</w:t>
            </w:r>
          </w:p>
          <w:p>
            <w:pPr>
              <w:spacing w:line="300" w:lineRule="exact"/>
              <w:rPr>
                <w:rFonts w:hint="eastAsia"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注：响应文件中需提供以上人员相关证书及供应商于投标截止时间前六个月内任意一个月为其购买的社保证明复印件并加盖供应商公章，无则不予计分。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496"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eastAsia="仿宋_GB2312" w:cs="Times New Roman"/>
                <w:color w:val="000000" w:themeColor="text1"/>
                <w:kern w:val="2"/>
                <w:sz w:val="24"/>
                <w:szCs w:val="24"/>
                <w:highlight w:val="none"/>
                <w:lang w:val="en-US" w:eastAsia="zh-CN" w:bidi="ar-SA"/>
                <w14:textFill>
                  <w14:solidFill>
                    <w14:schemeClr w14:val="tx1"/>
                  </w14:solidFill>
                </w14:textFill>
              </w:rPr>
              <w:t>3</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除项目负责人外，项目团队每具有一人持高级职称的，</w:t>
            </w:r>
            <w:r>
              <w:rPr>
                <w:rFonts w:hint="eastAsia" w:eastAsia="仿宋_GB2312"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分，最高得</w:t>
            </w:r>
            <w:r>
              <w:rPr>
                <w:rFonts w:hint="eastAsia" w:eastAsia="仿宋_GB2312"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eastAsia"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注：响应文件中需提供以上人员相关证书、供应商于投标截止时间前六个月内任意一个月为其购买的社保证明复印件并加盖供应商公章，无则不予计分。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496"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10</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派技术团队持有省级（含）以上生态环境主管部门或下属环境辐射监测机构颁发的辐射环境监测人员技术考核合格证</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考核合格项目需包含：X-γ辐射剂量率、a、β表面污染、中子剂量当量率</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的，每提供1人得</w:t>
            </w:r>
            <w:r>
              <w:rPr>
                <w:rFonts w:hint="eastAsia"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最高得</w:t>
            </w:r>
            <w:r>
              <w:rPr>
                <w:rFonts w:hint="eastAsia" w:eastAsia="仿宋_GB2312"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eastAsia"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注：响应文件中需提供以上人员相关证书、供应商于投标截止时间前六个月内任意一个月为其购买的社保证明复印件并加盖供应商公章，无则不予计分。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496"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2</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供应商拟派技术团队通过全国核技术利用辐射安全与防护考核的技术人员，每提供1人得</w:t>
            </w:r>
            <w:r>
              <w:rPr>
                <w:rFonts w:hint="eastAsia" w:eastAsia="仿宋_GB2312" w:cs="Times New Roman"/>
                <w:color w:val="000000" w:themeColor="text1"/>
                <w:sz w:val="24"/>
                <w:szCs w:val="24"/>
                <w:highlight w:val="none"/>
                <w:lang w:val="en-US" w:eastAsia="zh-CN"/>
                <w14:textFill>
                  <w14:solidFill>
                    <w14:schemeClr w14:val="tx1"/>
                  </w14:solidFill>
                </w14:textFill>
              </w:rPr>
              <w:t>0.5</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最高得</w:t>
            </w:r>
            <w:r>
              <w:rPr>
                <w:rFonts w:hint="eastAsia"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分。</w:t>
            </w:r>
          </w:p>
          <w:p>
            <w:pPr>
              <w:spacing w:line="300" w:lineRule="exact"/>
              <w:rPr>
                <w:rFonts w:hint="eastAsia"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注：响应文件中需提供以上人员核技术利用辐射安全与防护考核成绩报告单、供应商于投标截止时间前六个月内任意一个月为其购买的社保证明复印件并加盖供应商公章，无则不予计分。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22"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价格部分（</w:t>
            </w:r>
            <w:r>
              <w:rPr>
                <w:rFonts w:hint="eastAsia" w:eastAsia="仿宋_GB2312" w:cs="Times New Roman"/>
                <w:b/>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adjustRightInd w:val="0"/>
              <w:snapToGrid w:val="0"/>
              <w:spacing w:line="360" w:lineRule="auto"/>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投标报价</w:t>
            </w:r>
          </w:p>
        </w:tc>
        <w:tc>
          <w:tcPr>
            <w:tcW w:w="496" w:type="dxa"/>
            <w:shd w:val="clear" w:color="auto" w:fill="auto"/>
            <w:vAlign w:val="center"/>
          </w:tcPr>
          <w:p>
            <w:pPr>
              <w:spacing w:line="300" w:lineRule="exact"/>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15</w:t>
            </w:r>
          </w:p>
        </w:tc>
        <w:tc>
          <w:tcPr>
            <w:tcW w:w="7259" w:type="dxa"/>
            <w:shd w:val="clear" w:color="auto" w:fill="auto"/>
            <w:vAlign w:val="center"/>
          </w:tcPr>
          <w:p>
            <w:pPr>
              <w:spacing w:line="300" w:lineRule="exact"/>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经济价格标得分=(评标基准价/投标报价)×</w:t>
            </w:r>
            <w:r>
              <w:rPr>
                <w:rFonts w:hint="eastAsia" w:eastAsia="仿宋_GB2312" w:cs="Times New Roman"/>
                <w:color w:val="000000" w:themeColor="text1"/>
                <w:sz w:val="24"/>
                <w:szCs w:val="24"/>
                <w:highlight w:val="none"/>
                <w:lang w:val="en-US" w:eastAsia="zh-CN"/>
                <w14:textFill>
                  <w14:solidFill>
                    <w14:schemeClr w14:val="tx1"/>
                  </w14:solidFill>
                </w14:textFill>
              </w:rPr>
              <w:t>15</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评标基准价为满足招标文件要求且投标报价最低的投标报价，其价格分为满分。</w:t>
            </w:r>
          </w:p>
          <w:p>
            <w:pPr>
              <w:spacing w:line="300" w:lineRule="exact"/>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注：以调整后的价格计算评标基准价和投标报价。</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outlineLvl w:val="0"/>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DA5C12-241E-4242-A54A-C934275558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楷体_GB2312">
    <w:altName w:val="宋体"/>
    <w:panose1 w:val="02000000000000000000"/>
    <w:charset w:val="86"/>
    <w:family w:val="auto"/>
    <w:pitch w:val="default"/>
    <w:sig w:usb0="00000000" w:usb1="00000000" w:usb2="00000012" w:usb3="00000000" w:csb0="00040001"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embedRegular r:id="rId2" w:fontKey="{378ADF86-8BCC-486E-B17F-E1DFF245C454}"/>
  </w:font>
  <w:font w:name="仿宋_GB2312">
    <w:panose1 w:val="02010609030101010101"/>
    <w:charset w:val="86"/>
    <w:family w:val="auto"/>
    <w:pitch w:val="default"/>
    <w:sig w:usb0="00000001" w:usb1="080E0000" w:usb2="00000000" w:usb3="00000000" w:csb0="00040000" w:csb1="00000000"/>
    <w:embedRegular r:id="rId3" w:fontKey="{DE5FF77E-0ACE-44B9-B86D-3C085F3394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7690" cy="354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7690"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95pt;width:44.7pt;mso-position-horizontal:outside;mso-position-horizontal-relative:margin;z-index:251659264;mso-width-relative:page;mso-height-relative:page;" filled="f" stroked="f" coordsize="21600,21600" o:gfxdata="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q7i0wAAAAMBAAAPAAAAAAAAAAEAIAAAACIAAABkcnMvZG93bnJldi54&#10;bWxQSwECFAAUAAAACACHTuJA1XzO/DgCAABhBAAADgAAAAAAAAABACAAAAAiAQAAZHJzL2Uyb0Rv&#10;Yy54bWxQSwUGAAAAAAYABgBZAQAAzAUAAAAA&#10;">
              <v:fill on="f" focussize="0,0"/>
              <v:stroke on="f" weight="0.5pt"/>
              <v:imagedata o:title=""/>
              <o:lock v:ext="edit" aspectratio="f"/>
              <v:textbox inset="0mm,0mm,0mm,0mm">
                <w:txbxContent>
                  <w:p>
                    <w:pPr>
                      <w:spacing w:line="240" w:lineRule="auto"/>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OGYxOGI2Y2JjNTA0NGY2MDkwOTk5ZTVmYWQyZjMifQ=="/>
  </w:docVars>
  <w:rsids>
    <w:rsidRoot w:val="444504D3"/>
    <w:rsid w:val="00006848"/>
    <w:rsid w:val="00006B58"/>
    <w:rsid w:val="000070E3"/>
    <w:rsid w:val="000131B7"/>
    <w:rsid w:val="0001568C"/>
    <w:rsid w:val="00023C5F"/>
    <w:rsid w:val="00025C1F"/>
    <w:rsid w:val="00044387"/>
    <w:rsid w:val="00097B4C"/>
    <w:rsid w:val="000B138A"/>
    <w:rsid w:val="000C0B08"/>
    <w:rsid w:val="000C1B12"/>
    <w:rsid w:val="000C64DF"/>
    <w:rsid w:val="001045E9"/>
    <w:rsid w:val="001051E6"/>
    <w:rsid w:val="00112193"/>
    <w:rsid w:val="0013128E"/>
    <w:rsid w:val="0014527E"/>
    <w:rsid w:val="00195C60"/>
    <w:rsid w:val="001A0FA5"/>
    <w:rsid w:val="001A40D7"/>
    <w:rsid w:val="001B7D02"/>
    <w:rsid w:val="001E07E3"/>
    <w:rsid w:val="001E0981"/>
    <w:rsid w:val="002524F1"/>
    <w:rsid w:val="00276C6F"/>
    <w:rsid w:val="002E7229"/>
    <w:rsid w:val="003127D0"/>
    <w:rsid w:val="00314BB5"/>
    <w:rsid w:val="00320CD2"/>
    <w:rsid w:val="00321496"/>
    <w:rsid w:val="00324DA7"/>
    <w:rsid w:val="003830A7"/>
    <w:rsid w:val="00391B61"/>
    <w:rsid w:val="0039595B"/>
    <w:rsid w:val="003A014E"/>
    <w:rsid w:val="003B0C9B"/>
    <w:rsid w:val="003D140A"/>
    <w:rsid w:val="00401E2E"/>
    <w:rsid w:val="00432C40"/>
    <w:rsid w:val="00474131"/>
    <w:rsid w:val="00486E32"/>
    <w:rsid w:val="004A2657"/>
    <w:rsid w:val="004B264B"/>
    <w:rsid w:val="004D2C9A"/>
    <w:rsid w:val="004D5AC8"/>
    <w:rsid w:val="004E3ABB"/>
    <w:rsid w:val="004E7373"/>
    <w:rsid w:val="00501B1B"/>
    <w:rsid w:val="0052034C"/>
    <w:rsid w:val="005311B3"/>
    <w:rsid w:val="005535CF"/>
    <w:rsid w:val="00581C67"/>
    <w:rsid w:val="0058320C"/>
    <w:rsid w:val="005A0EA8"/>
    <w:rsid w:val="005A6F56"/>
    <w:rsid w:val="005C29CE"/>
    <w:rsid w:val="005E4ABD"/>
    <w:rsid w:val="00620182"/>
    <w:rsid w:val="00656066"/>
    <w:rsid w:val="00663488"/>
    <w:rsid w:val="00674E3B"/>
    <w:rsid w:val="00680E2F"/>
    <w:rsid w:val="006852F8"/>
    <w:rsid w:val="00692493"/>
    <w:rsid w:val="006C44F8"/>
    <w:rsid w:val="006E3328"/>
    <w:rsid w:val="0072414E"/>
    <w:rsid w:val="00726FB2"/>
    <w:rsid w:val="0073093E"/>
    <w:rsid w:val="00734180"/>
    <w:rsid w:val="00747015"/>
    <w:rsid w:val="00761B87"/>
    <w:rsid w:val="00764ECB"/>
    <w:rsid w:val="007810DC"/>
    <w:rsid w:val="007917C9"/>
    <w:rsid w:val="00792672"/>
    <w:rsid w:val="007A1921"/>
    <w:rsid w:val="007A7DA9"/>
    <w:rsid w:val="007B284D"/>
    <w:rsid w:val="007C455C"/>
    <w:rsid w:val="007D5EFF"/>
    <w:rsid w:val="007E7F6F"/>
    <w:rsid w:val="007F0931"/>
    <w:rsid w:val="007F1B21"/>
    <w:rsid w:val="007F7CEE"/>
    <w:rsid w:val="0082163C"/>
    <w:rsid w:val="008311CA"/>
    <w:rsid w:val="0084381A"/>
    <w:rsid w:val="0089746E"/>
    <w:rsid w:val="008A6DF7"/>
    <w:rsid w:val="008A7914"/>
    <w:rsid w:val="008B433E"/>
    <w:rsid w:val="008B634E"/>
    <w:rsid w:val="008C050D"/>
    <w:rsid w:val="008E292F"/>
    <w:rsid w:val="00901F83"/>
    <w:rsid w:val="00910406"/>
    <w:rsid w:val="009220B5"/>
    <w:rsid w:val="0092416B"/>
    <w:rsid w:val="00926772"/>
    <w:rsid w:val="009455F5"/>
    <w:rsid w:val="00977E8B"/>
    <w:rsid w:val="00981408"/>
    <w:rsid w:val="009C1217"/>
    <w:rsid w:val="009D4028"/>
    <w:rsid w:val="009F4289"/>
    <w:rsid w:val="00A42E51"/>
    <w:rsid w:val="00A53685"/>
    <w:rsid w:val="00AA20D5"/>
    <w:rsid w:val="00AA2FE8"/>
    <w:rsid w:val="00AB32FF"/>
    <w:rsid w:val="00AB4A63"/>
    <w:rsid w:val="00AC155F"/>
    <w:rsid w:val="00AE0BF1"/>
    <w:rsid w:val="00B1318C"/>
    <w:rsid w:val="00B64515"/>
    <w:rsid w:val="00BC2A00"/>
    <w:rsid w:val="00BC4DB7"/>
    <w:rsid w:val="00BE3972"/>
    <w:rsid w:val="00BE4C5D"/>
    <w:rsid w:val="00BF010B"/>
    <w:rsid w:val="00BF3134"/>
    <w:rsid w:val="00C01C43"/>
    <w:rsid w:val="00C27B36"/>
    <w:rsid w:val="00C772F9"/>
    <w:rsid w:val="00C90534"/>
    <w:rsid w:val="00C95BB6"/>
    <w:rsid w:val="00CD4B60"/>
    <w:rsid w:val="00D11019"/>
    <w:rsid w:val="00D11FBE"/>
    <w:rsid w:val="00D22AC1"/>
    <w:rsid w:val="00D37C36"/>
    <w:rsid w:val="00D67FF2"/>
    <w:rsid w:val="00D85B97"/>
    <w:rsid w:val="00DC445E"/>
    <w:rsid w:val="00DC79CE"/>
    <w:rsid w:val="00DD165A"/>
    <w:rsid w:val="00E055EF"/>
    <w:rsid w:val="00E37742"/>
    <w:rsid w:val="00E63CBE"/>
    <w:rsid w:val="00E833F6"/>
    <w:rsid w:val="00EC017F"/>
    <w:rsid w:val="00EC7A86"/>
    <w:rsid w:val="00EE3EE0"/>
    <w:rsid w:val="00EE6E50"/>
    <w:rsid w:val="00EF37CA"/>
    <w:rsid w:val="00F03479"/>
    <w:rsid w:val="00F67D62"/>
    <w:rsid w:val="00F76EB6"/>
    <w:rsid w:val="00F84AEA"/>
    <w:rsid w:val="00F96CBA"/>
    <w:rsid w:val="00FD569A"/>
    <w:rsid w:val="00FD7764"/>
    <w:rsid w:val="00FE75B2"/>
    <w:rsid w:val="00FF0113"/>
    <w:rsid w:val="01075FA4"/>
    <w:rsid w:val="011A3ACA"/>
    <w:rsid w:val="01487DB8"/>
    <w:rsid w:val="01A00FC9"/>
    <w:rsid w:val="01B841E6"/>
    <w:rsid w:val="01EE1864"/>
    <w:rsid w:val="023A7376"/>
    <w:rsid w:val="025C50DD"/>
    <w:rsid w:val="029D706B"/>
    <w:rsid w:val="02C44484"/>
    <w:rsid w:val="02C53DED"/>
    <w:rsid w:val="02EC7E11"/>
    <w:rsid w:val="030F20B5"/>
    <w:rsid w:val="034C6591"/>
    <w:rsid w:val="03A77431"/>
    <w:rsid w:val="03D63A82"/>
    <w:rsid w:val="03F16F6B"/>
    <w:rsid w:val="042E253E"/>
    <w:rsid w:val="0465799E"/>
    <w:rsid w:val="0478393E"/>
    <w:rsid w:val="047E7BE5"/>
    <w:rsid w:val="049A7D52"/>
    <w:rsid w:val="05832355"/>
    <w:rsid w:val="05C806C9"/>
    <w:rsid w:val="05DE1675"/>
    <w:rsid w:val="061713B5"/>
    <w:rsid w:val="06CD5D5E"/>
    <w:rsid w:val="06D64B38"/>
    <w:rsid w:val="07542954"/>
    <w:rsid w:val="07B7559B"/>
    <w:rsid w:val="080C0D3C"/>
    <w:rsid w:val="081010B3"/>
    <w:rsid w:val="08630926"/>
    <w:rsid w:val="087E5D0A"/>
    <w:rsid w:val="0887525B"/>
    <w:rsid w:val="08DD1265"/>
    <w:rsid w:val="09192EC9"/>
    <w:rsid w:val="0A9566AF"/>
    <w:rsid w:val="0ABE1C06"/>
    <w:rsid w:val="0AD90E60"/>
    <w:rsid w:val="0B4564C8"/>
    <w:rsid w:val="0B6864DE"/>
    <w:rsid w:val="0B741DB6"/>
    <w:rsid w:val="0BD526B5"/>
    <w:rsid w:val="0BEF7DA3"/>
    <w:rsid w:val="0C215D4D"/>
    <w:rsid w:val="0C3F579C"/>
    <w:rsid w:val="0C5B1651"/>
    <w:rsid w:val="0C7C4062"/>
    <w:rsid w:val="0C9468D5"/>
    <w:rsid w:val="0CD45AD1"/>
    <w:rsid w:val="0D6671EC"/>
    <w:rsid w:val="0D941D7D"/>
    <w:rsid w:val="0D943382"/>
    <w:rsid w:val="0D9D6C8B"/>
    <w:rsid w:val="0DCA50CD"/>
    <w:rsid w:val="0E061580"/>
    <w:rsid w:val="0E35096D"/>
    <w:rsid w:val="0E3D4B6A"/>
    <w:rsid w:val="0E4B6F47"/>
    <w:rsid w:val="0E4E195C"/>
    <w:rsid w:val="0E5028F6"/>
    <w:rsid w:val="0E516161"/>
    <w:rsid w:val="0E666195"/>
    <w:rsid w:val="0E7378B9"/>
    <w:rsid w:val="0E9A4896"/>
    <w:rsid w:val="0EDF3564"/>
    <w:rsid w:val="0EE85D6A"/>
    <w:rsid w:val="0EF67E78"/>
    <w:rsid w:val="0F2C4EAA"/>
    <w:rsid w:val="0F6F0CB6"/>
    <w:rsid w:val="0FF33DDF"/>
    <w:rsid w:val="103F5EFC"/>
    <w:rsid w:val="109269D6"/>
    <w:rsid w:val="10AF2436"/>
    <w:rsid w:val="10E7754B"/>
    <w:rsid w:val="11266962"/>
    <w:rsid w:val="1150136C"/>
    <w:rsid w:val="11A522C9"/>
    <w:rsid w:val="11AC76C8"/>
    <w:rsid w:val="12080891"/>
    <w:rsid w:val="123C676E"/>
    <w:rsid w:val="12F477BD"/>
    <w:rsid w:val="13337B71"/>
    <w:rsid w:val="13B90A6F"/>
    <w:rsid w:val="143F3C92"/>
    <w:rsid w:val="14577F42"/>
    <w:rsid w:val="149273A8"/>
    <w:rsid w:val="14A31B9B"/>
    <w:rsid w:val="14E82FC7"/>
    <w:rsid w:val="14F90441"/>
    <w:rsid w:val="152D3775"/>
    <w:rsid w:val="15B679C6"/>
    <w:rsid w:val="15FD5646"/>
    <w:rsid w:val="160C2A5F"/>
    <w:rsid w:val="16A86180"/>
    <w:rsid w:val="16D67C37"/>
    <w:rsid w:val="16F615E1"/>
    <w:rsid w:val="16FC47C5"/>
    <w:rsid w:val="1713721E"/>
    <w:rsid w:val="17423139"/>
    <w:rsid w:val="17453DA1"/>
    <w:rsid w:val="17681CF4"/>
    <w:rsid w:val="17751919"/>
    <w:rsid w:val="17774779"/>
    <w:rsid w:val="177E477E"/>
    <w:rsid w:val="179F307D"/>
    <w:rsid w:val="17DD40E6"/>
    <w:rsid w:val="182B1E1E"/>
    <w:rsid w:val="1867427C"/>
    <w:rsid w:val="18AC7E34"/>
    <w:rsid w:val="18EB0617"/>
    <w:rsid w:val="18F05319"/>
    <w:rsid w:val="18FB5651"/>
    <w:rsid w:val="194A7E63"/>
    <w:rsid w:val="19A04B5B"/>
    <w:rsid w:val="19BD238F"/>
    <w:rsid w:val="19D56C00"/>
    <w:rsid w:val="19E51207"/>
    <w:rsid w:val="19E92184"/>
    <w:rsid w:val="19F8173B"/>
    <w:rsid w:val="1A141160"/>
    <w:rsid w:val="1A295829"/>
    <w:rsid w:val="1A5E05E5"/>
    <w:rsid w:val="1AAB2525"/>
    <w:rsid w:val="1AB66F4E"/>
    <w:rsid w:val="1AEC48A2"/>
    <w:rsid w:val="1B156DE8"/>
    <w:rsid w:val="1B3D7426"/>
    <w:rsid w:val="1B5F3016"/>
    <w:rsid w:val="1C235A6D"/>
    <w:rsid w:val="1C280221"/>
    <w:rsid w:val="1CD81789"/>
    <w:rsid w:val="1CEB6DC6"/>
    <w:rsid w:val="1CEF2F18"/>
    <w:rsid w:val="1D0315F1"/>
    <w:rsid w:val="1D054E49"/>
    <w:rsid w:val="1D0D1093"/>
    <w:rsid w:val="1D186D89"/>
    <w:rsid w:val="1D4E4896"/>
    <w:rsid w:val="1D504760"/>
    <w:rsid w:val="1D684F9C"/>
    <w:rsid w:val="1D6D4199"/>
    <w:rsid w:val="1DA0500E"/>
    <w:rsid w:val="1DAA676A"/>
    <w:rsid w:val="1DBE3219"/>
    <w:rsid w:val="1DDF1C11"/>
    <w:rsid w:val="1E4A5D6E"/>
    <w:rsid w:val="1EAF76CD"/>
    <w:rsid w:val="1EC16DDB"/>
    <w:rsid w:val="1EDB6526"/>
    <w:rsid w:val="1F0D11F2"/>
    <w:rsid w:val="1F6D719E"/>
    <w:rsid w:val="1F9433ED"/>
    <w:rsid w:val="21613D47"/>
    <w:rsid w:val="219B0A3F"/>
    <w:rsid w:val="21B20C64"/>
    <w:rsid w:val="21DE1192"/>
    <w:rsid w:val="22C1382B"/>
    <w:rsid w:val="23674111"/>
    <w:rsid w:val="236A2484"/>
    <w:rsid w:val="23930E89"/>
    <w:rsid w:val="2412563B"/>
    <w:rsid w:val="242F7DAA"/>
    <w:rsid w:val="24493D64"/>
    <w:rsid w:val="24A51F50"/>
    <w:rsid w:val="24C47B76"/>
    <w:rsid w:val="24CF1B46"/>
    <w:rsid w:val="24F8433A"/>
    <w:rsid w:val="24F919A0"/>
    <w:rsid w:val="25314CC3"/>
    <w:rsid w:val="257A5D86"/>
    <w:rsid w:val="258576D8"/>
    <w:rsid w:val="25A3428E"/>
    <w:rsid w:val="2642554B"/>
    <w:rsid w:val="265308A0"/>
    <w:rsid w:val="26C14E38"/>
    <w:rsid w:val="26C4002E"/>
    <w:rsid w:val="27130FE7"/>
    <w:rsid w:val="273063DE"/>
    <w:rsid w:val="27717056"/>
    <w:rsid w:val="284A48B1"/>
    <w:rsid w:val="2874463E"/>
    <w:rsid w:val="288D22AB"/>
    <w:rsid w:val="28983755"/>
    <w:rsid w:val="290B4946"/>
    <w:rsid w:val="296606B3"/>
    <w:rsid w:val="296700B2"/>
    <w:rsid w:val="29877B0F"/>
    <w:rsid w:val="298D4CE2"/>
    <w:rsid w:val="29B65166"/>
    <w:rsid w:val="2A3E6674"/>
    <w:rsid w:val="2A3F3693"/>
    <w:rsid w:val="2A932F20"/>
    <w:rsid w:val="2A9724EC"/>
    <w:rsid w:val="2AAE0A2E"/>
    <w:rsid w:val="2AD02434"/>
    <w:rsid w:val="2AEF5480"/>
    <w:rsid w:val="2B116495"/>
    <w:rsid w:val="2B416EF4"/>
    <w:rsid w:val="2B491236"/>
    <w:rsid w:val="2B5941D7"/>
    <w:rsid w:val="2B693379"/>
    <w:rsid w:val="2B6C2C28"/>
    <w:rsid w:val="2BDD2111"/>
    <w:rsid w:val="2C6652C4"/>
    <w:rsid w:val="2C9335BD"/>
    <w:rsid w:val="2CB768BB"/>
    <w:rsid w:val="2CBC0F23"/>
    <w:rsid w:val="2D376D54"/>
    <w:rsid w:val="2D40511B"/>
    <w:rsid w:val="2D4B588C"/>
    <w:rsid w:val="2D7E5DE3"/>
    <w:rsid w:val="2D9742ED"/>
    <w:rsid w:val="2E4317F2"/>
    <w:rsid w:val="2EA339A5"/>
    <w:rsid w:val="2EE32184"/>
    <w:rsid w:val="2EE4496F"/>
    <w:rsid w:val="2FAE5274"/>
    <w:rsid w:val="2FE974B9"/>
    <w:rsid w:val="30427824"/>
    <w:rsid w:val="304B2891"/>
    <w:rsid w:val="30A24A69"/>
    <w:rsid w:val="30D13A6A"/>
    <w:rsid w:val="30E1203F"/>
    <w:rsid w:val="31533183"/>
    <w:rsid w:val="317E3C84"/>
    <w:rsid w:val="319050C0"/>
    <w:rsid w:val="31C404B3"/>
    <w:rsid w:val="31F87393"/>
    <w:rsid w:val="32A07F58"/>
    <w:rsid w:val="32AA6999"/>
    <w:rsid w:val="32BC3441"/>
    <w:rsid w:val="330D4993"/>
    <w:rsid w:val="331C5AD4"/>
    <w:rsid w:val="338B517C"/>
    <w:rsid w:val="33943C1B"/>
    <w:rsid w:val="33BF1D1B"/>
    <w:rsid w:val="33F703CA"/>
    <w:rsid w:val="34231A50"/>
    <w:rsid w:val="34D67E64"/>
    <w:rsid w:val="351320DE"/>
    <w:rsid w:val="351D5B33"/>
    <w:rsid w:val="3523253F"/>
    <w:rsid w:val="35283D2A"/>
    <w:rsid w:val="355E11BC"/>
    <w:rsid w:val="35A72872"/>
    <w:rsid w:val="35CE00B4"/>
    <w:rsid w:val="35D00492"/>
    <w:rsid w:val="36323781"/>
    <w:rsid w:val="364A4283"/>
    <w:rsid w:val="366C0EDD"/>
    <w:rsid w:val="367D502D"/>
    <w:rsid w:val="3684480D"/>
    <w:rsid w:val="368E13A4"/>
    <w:rsid w:val="36EC313E"/>
    <w:rsid w:val="372C6767"/>
    <w:rsid w:val="37560F27"/>
    <w:rsid w:val="376679EC"/>
    <w:rsid w:val="37C37B98"/>
    <w:rsid w:val="37D90437"/>
    <w:rsid w:val="37EE53F1"/>
    <w:rsid w:val="38462508"/>
    <w:rsid w:val="38524BC7"/>
    <w:rsid w:val="38B374BA"/>
    <w:rsid w:val="38F973DA"/>
    <w:rsid w:val="38FD3128"/>
    <w:rsid w:val="391F3C45"/>
    <w:rsid w:val="3987515D"/>
    <w:rsid w:val="39983E68"/>
    <w:rsid w:val="39D054E1"/>
    <w:rsid w:val="39EB7216"/>
    <w:rsid w:val="3A3E15DC"/>
    <w:rsid w:val="3A9078C2"/>
    <w:rsid w:val="3AB87C7F"/>
    <w:rsid w:val="3ABE3D0A"/>
    <w:rsid w:val="3AC3264C"/>
    <w:rsid w:val="3ACB6EA0"/>
    <w:rsid w:val="3AFC1FD0"/>
    <w:rsid w:val="3B1D2AC4"/>
    <w:rsid w:val="3B5A696C"/>
    <w:rsid w:val="3B6806C3"/>
    <w:rsid w:val="3B933459"/>
    <w:rsid w:val="3BB71647"/>
    <w:rsid w:val="3BF246EB"/>
    <w:rsid w:val="3C0A72BE"/>
    <w:rsid w:val="3C1A497A"/>
    <w:rsid w:val="3C2F1417"/>
    <w:rsid w:val="3C4A6048"/>
    <w:rsid w:val="3C775A1A"/>
    <w:rsid w:val="3C8B7DB6"/>
    <w:rsid w:val="3CB24145"/>
    <w:rsid w:val="3CBC48D9"/>
    <w:rsid w:val="3CD77541"/>
    <w:rsid w:val="3D2B7117"/>
    <w:rsid w:val="3D346110"/>
    <w:rsid w:val="3D966B8D"/>
    <w:rsid w:val="3D97371F"/>
    <w:rsid w:val="3DB24BB5"/>
    <w:rsid w:val="3DFE04AE"/>
    <w:rsid w:val="3E9A72DC"/>
    <w:rsid w:val="3ED55C3B"/>
    <w:rsid w:val="3F0376B0"/>
    <w:rsid w:val="3F065002"/>
    <w:rsid w:val="3F0701CA"/>
    <w:rsid w:val="3F271558"/>
    <w:rsid w:val="3F7420E3"/>
    <w:rsid w:val="3F8044A4"/>
    <w:rsid w:val="3FA50121"/>
    <w:rsid w:val="3FB94E5E"/>
    <w:rsid w:val="3FE41849"/>
    <w:rsid w:val="40811F29"/>
    <w:rsid w:val="40F13F2B"/>
    <w:rsid w:val="410B50B3"/>
    <w:rsid w:val="41182278"/>
    <w:rsid w:val="417F044B"/>
    <w:rsid w:val="41855365"/>
    <w:rsid w:val="41AC3B78"/>
    <w:rsid w:val="41D2444C"/>
    <w:rsid w:val="423D6A9C"/>
    <w:rsid w:val="426B1C4F"/>
    <w:rsid w:val="426D79C3"/>
    <w:rsid w:val="42C725B1"/>
    <w:rsid w:val="43114D0B"/>
    <w:rsid w:val="436C4D25"/>
    <w:rsid w:val="43723725"/>
    <w:rsid w:val="43964D6B"/>
    <w:rsid w:val="43A31D2E"/>
    <w:rsid w:val="43B14679"/>
    <w:rsid w:val="43BF07BD"/>
    <w:rsid w:val="444504D3"/>
    <w:rsid w:val="447D039C"/>
    <w:rsid w:val="45446B66"/>
    <w:rsid w:val="45456F36"/>
    <w:rsid w:val="456A1987"/>
    <w:rsid w:val="45E32CD7"/>
    <w:rsid w:val="45EA3734"/>
    <w:rsid w:val="467155F2"/>
    <w:rsid w:val="46755EE0"/>
    <w:rsid w:val="46800383"/>
    <w:rsid w:val="468071F3"/>
    <w:rsid w:val="476715C4"/>
    <w:rsid w:val="47D60065"/>
    <w:rsid w:val="4802555B"/>
    <w:rsid w:val="480914CC"/>
    <w:rsid w:val="484B1701"/>
    <w:rsid w:val="48684EBF"/>
    <w:rsid w:val="486F1A2E"/>
    <w:rsid w:val="48864BC1"/>
    <w:rsid w:val="488F0576"/>
    <w:rsid w:val="49084369"/>
    <w:rsid w:val="4937446F"/>
    <w:rsid w:val="49374BDE"/>
    <w:rsid w:val="4A2942D2"/>
    <w:rsid w:val="4A342C79"/>
    <w:rsid w:val="4A432B5B"/>
    <w:rsid w:val="4A444CDB"/>
    <w:rsid w:val="4A503C10"/>
    <w:rsid w:val="4A5B7EDD"/>
    <w:rsid w:val="4B016871"/>
    <w:rsid w:val="4B037E08"/>
    <w:rsid w:val="4B041DE4"/>
    <w:rsid w:val="4B2C2D58"/>
    <w:rsid w:val="4B7F6DA9"/>
    <w:rsid w:val="4B971783"/>
    <w:rsid w:val="4BC57C62"/>
    <w:rsid w:val="4BC6456D"/>
    <w:rsid w:val="4C4108E0"/>
    <w:rsid w:val="4C543F5D"/>
    <w:rsid w:val="4C81733A"/>
    <w:rsid w:val="4CCE6E40"/>
    <w:rsid w:val="4CE638C1"/>
    <w:rsid w:val="4D305B2C"/>
    <w:rsid w:val="4D3D0308"/>
    <w:rsid w:val="4D502364"/>
    <w:rsid w:val="4D844549"/>
    <w:rsid w:val="4E1D444A"/>
    <w:rsid w:val="4E303739"/>
    <w:rsid w:val="4E42661D"/>
    <w:rsid w:val="4E695331"/>
    <w:rsid w:val="4EBF3A2E"/>
    <w:rsid w:val="4EF45DDA"/>
    <w:rsid w:val="4F293AF5"/>
    <w:rsid w:val="4F604F3C"/>
    <w:rsid w:val="4FD5155E"/>
    <w:rsid w:val="508B4862"/>
    <w:rsid w:val="509C73D3"/>
    <w:rsid w:val="50A70EB5"/>
    <w:rsid w:val="50AB11BF"/>
    <w:rsid w:val="50B95F58"/>
    <w:rsid w:val="50DB385C"/>
    <w:rsid w:val="50DE0CA3"/>
    <w:rsid w:val="51034A1A"/>
    <w:rsid w:val="510B758F"/>
    <w:rsid w:val="51C10D97"/>
    <w:rsid w:val="51C954EC"/>
    <w:rsid w:val="51F232E9"/>
    <w:rsid w:val="5224349B"/>
    <w:rsid w:val="52285FD9"/>
    <w:rsid w:val="52AE12B1"/>
    <w:rsid w:val="52AE5BB6"/>
    <w:rsid w:val="52BA081F"/>
    <w:rsid w:val="52D33D0D"/>
    <w:rsid w:val="52E218CE"/>
    <w:rsid w:val="52F86172"/>
    <w:rsid w:val="5305137B"/>
    <w:rsid w:val="533119A7"/>
    <w:rsid w:val="533405D6"/>
    <w:rsid w:val="538E3AB0"/>
    <w:rsid w:val="53920C24"/>
    <w:rsid w:val="53EA69AE"/>
    <w:rsid w:val="54442C85"/>
    <w:rsid w:val="546B280E"/>
    <w:rsid w:val="54701C8D"/>
    <w:rsid w:val="54DD69CE"/>
    <w:rsid w:val="553A4356"/>
    <w:rsid w:val="55A54EE0"/>
    <w:rsid w:val="560E06BD"/>
    <w:rsid w:val="563A3E72"/>
    <w:rsid w:val="565F15D0"/>
    <w:rsid w:val="566B43D1"/>
    <w:rsid w:val="566C27D3"/>
    <w:rsid w:val="56850AD7"/>
    <w:rsid w:val="56B57FFB"/>
    <w:rsid w:val="56C307C5"/>
    <w:rsid w:val="56F31ECD"/>
    <w:rsid w:val="575352DD"/>
    <w:rsid w:val="57884BC4"/>
    <w:rsid w:val="57FB2295"/>
    <w:rsid w:val="582603D3"/>
    <w:rsid w:val="586772E4"/>
    <w:rsid w:val="588F1604"/>
    <w:rsid w:val="58AC788D"/>
    <w:rsid w:val="58E77479"/>
    <w:rsid w:val="58E9124B"/>
    <w:rsid w:val="590B3E12"/>
    <w:rsid w:val="59AA412C"/>
    <w:rsid w:val="5A1F6F74"/>
    <w:rsid w:val="5A737E0F"/>
    <w:rsid w:val="5AB356C9"/>
    <w:rsid w:val="5AF534D1"/>
    <w:rsid w:val="5B2D69FA"/>
    <w:rsid w:val="5B314AF3"/>
    <w:rsid w:val="5B5853C7"/>
    <w:rsid w:val="5B8F1D53"/>
    <w:rsid w:val="5B9630EB"/>
    <w:rsid w:val="5BAD23AB"/>
    <w:rsid w:val="5BF82E41"/>
    <w:rsid w:val="5CC0064B"/>
    <w:rsid w:val="5CE074E1"/>
    <w:rsid w:val="5D055E2A"/>
    <w:rsid w:val="5D224973"/>
    <w:rsid w:val="5D301ED9"/>
    <w:rsid w:val="5D4265BE"/>
    <w:rsid w:val="5D596F5F"/>
    <w:rsid w:val="5D7B4516"/>
    <w:rsid w:val="5DB13D45"/>
    <w:rsid w:val="5DEF6A9A"/>
    <w:rsid w:val="5E056463"/>
    <w:rsid w:val="5E4360C4"/>
    <w:rsid w:val="5E7E0566"/>
    <w:rsid w:val="5E9B608A"/>
    <w:rsid w:val="5EB5533F"/>
    <w:rsid w:val="5F030517"/>
    <w:rsid w:val="5F0D091C"/>
    <w:rsid w:val="5F2E6BB6"/>
    <w:rsid w:val="5F332BBC"/>
    <w:rsid w:val="5F347B83"/>
    <w:rsid w:val="5F5C43D5"/>
    <w:rsid w:val="5F6E2312"/>
    <w:rsid w:val="5FA25E2D"/>
    <w:rsid w:val="5FDB3A6E"/>
    <w:rsid w:val="6066797A"/>
    <w:rsid w:val="609A112F"/>
    <w:rsid w:val="60D64222"/>
    <w:rsid w:val="60ED66A8"/>
    <w:rsid w:val="61071892"/>
    <w:rsid w:val="619568CD"/>
    <w:rsid w:val="61F015F6"/>
    <w:rsid w:val="61F51128"/>
    <w:rsid w:val="61FC33BD"/>
    <w:rsid w:val="62110B1C"/>
    <w:rsid w:val="622970D1"/>
    <w:rsid w:val="624609A1"/>
    <w:rsid w:val="62CA0EBF"/>
    <w:rsid w:val="62FE02EA"/>
    <w:rsid w:val="63212B0F"/>
    <w:rsid w:val="6363494E"/>
    <w:rsid w:val="636A1EAC"/>
    <w:rsid w:val="638135AD"/>
    <w:rsid w:val="63951C74"/>
    <w:rsid w:val="63EA56DA"/>
    <w:rsid w:val="6419241B"/>
    <w:rsid w:val="64330455"/>
    <w:rsid w:val="6448063F"/>
    <w:rsid w:val="64714BDB"/>
    <w:rsid w:val="64AD0984"/>
    <w:rsid w:val="64B2591E"/>
    <w:rsid w:val="64C9176F"/>
    <w:rsid w:val="64E02DB4"/>
    <w:rsid w:val="65000CD8"/>
    <w:rsid w:val="652F4C02"/>
    <w:rsid w:val="655877FA"/>
    <w:rsid w:val="65B5552C"/>
    <w:rsid w:val="66147F91"/>
    <w:rsid w:val="666F04FA"/>
    <w:rsid w:val="668F50A0"/>
    <w:rsid w:val="66C2085F"/>
    <w:rsid w:val="66FD6306"/>
    <w:rsid w:val="676E62D6"/>
    <w:rsid w:val="678423FC"/>
    <w:rsid w:val="67BD77FC"/>
    <w:rsid w:val="67F82132"/>
    <w:rsid w:val="67FB180E"/>
    <w:rsid w:val="682C0D6E"/>
    <w:rsid w:val="683915DB"/>
    <w:rsid w:val="684D4A1B"/>
    <w:rsid w:val="685C63C7"/>
    <w:rsid w:val="68670E41"/>
    <w:rsid w:val="688547BB"/>
    <w:rsid w:val="68871C41"/>
    <w:rsid w:val="691D7308"/>
    <w:rsid w:val="692828A9"/>
    <w:rsid w:val="692A1303"/>
    <w:rsid w:val="69805E09"/>
    <w:rsid w:val="69B445E7"/>
    <w:rsid w:val="69B63239"/>
    <w:rsid w:val="69D86CAC"/>
    <w:rsid w:val="6A145E5B"/>
    <w:rsid w:val="6A4878EB"/>
    <w:rsid w:val="6A713A42"/>
    <w:rsid w:val="6AE92796"/>
    <w:rsid w:val="6B342FA5"/>
    <w:rsid w:val="6B6D641A"/>
    <w:rsid w:val="6BA45143"/>
    <w:rsid w:val="6C2279C6"/>
    <w:rsid w:val="6C377F6E"/>
    <w:rsid w:val="6C465B97"/>
    <w:rsid w:val="6C8361D7"/>
    <w:rsid w:val="6CE673E1"/>
    <w:rsid w:val="6D1439A2"/>
    <w:rsid w:val="6D371E92"/>
    <w:rsid w:val="6E042077"/>
    <w:rsid w:val="6E2E7E8E"/>
    <w:rsid w:val="6E552FB4"/>
    <w:rsid w:val="6E5844F1"/>
    <w:rsid w:val="6E7D7067"/>
    <w:rsid w:val="6E89340D"/>
    <w:rsid w:val="6ED90B7F"/>
    <w:rsid w:val="6EEB2918"/>
    <w:rsid w:val="6F061F54"/>
    <w:rsid w:val="6FE70D30"/>
    <w:rsid w:val="700D578C"/>
    <w:rsid w:val="701844AA"/>
    <w:rsid w:val="70333ECD"/>
    <w:rsid w:val="715E4615"/>
    <w:rsid w:val="717E7288"/>
    <w:rsid w:val="71BC6DCB"/>
    <w:rsid w:val="72540E5E"/>
    <w:rsid w:val="72673354"/>
    <w:rsid w:val="728C49F9"/>
    <w:rsid w:val="72AB4335"/>
    <w:rsid w:val="72B042D1"/>
    <w:rsid w:val="72D461B5"/>
    <w:rsid w:val="733125F3"/>
    <w:rsid w:val="73321F1E"/>
    <w:rsid w:val="735103F6"/>
    <w:rsid w:val="73860002"/>
    <w:rsid w:val="73CB753F"/>
    <w:rsid w:val="73E82F60"/>
    <w:rsid w:val="74286651"/>
    <w:rsid w:val="74563EDF"/>
    <w:rsid w:val="74B3431C"/>
    <w:rsid w:val="74D54803"/>
    <w:rsid w:val="74E97CAB"/>
    <w:rsid w:val="74EA698F"/>
    <w:rsid w:val="74FC50C9"/>
    <w:rsid w:val="75282B8A"/>
    <w:rsid w:val="754E5870"/>
    <w:rsid w:val="75524939"/>
    <w:rsid w:val="75B27114"/>
    <w:rsid w:val="75EE4582"/>
    <w:rsid w:val="76123FF5"/>
    <w:rsid w:val="76245320"/>
    <w:rsid w:val="76341E95"/>
    <w:rsid w:val="76436C15"/>
    <w:rsid w:val="76B441CF"/>
    <w:rsid w:val="76BA383D"/>
    <w:rsid w:val="76BB1185"/>
    <w:rsid w:val="777131A2"/>
    <w:rsid w:val="77947981"/>
    <w:rsid w:val="77976C26"/>
    <w:rsid w:val="77A43A56"/>
    <w:rsid w:val="77E75EF4"/>
    <w:rsid w:val="78164BEF"/>
    <w:rsid w:val="78263B55"/>
    <w:rsid w:val="78296365"/>
    <w:rsid w:val="783A1CF0"/>
    <w:rsid w:val="787621A8"/>
    <w:rsid w:val="78787731"/>
    <w:rsid w:val="789D5615"/>
    <w:rsid w:val="78C60ADC"/>
    <w:rsid w:val="78ED16D1"/>
    <w:rsid w:val="793E059C"/>
    <w:rsid w:val="794F10B8"/>
    <w:rsid w:val="797430DD"/>
    <w:rsid w:val="79BA2990"/>
    <w:rsid w:val="79C050BE"/>
    <w:rsid w:val="79F46A96"/>
    <w:rsid w:val="7A5A7874"/>
    <w:rsid w:val="7A831305"/>
    <w:rsid w:val="7AC9575B"/>
    <w:rsid w:val="7B2F17FF"/>
    <w:rsid w:val="7B3B12F5"/>
    <w:rsid w:val="7B477BCC"/>
    <w:rsid w:val="7BE73D72"/>
    <w:rsid w:val="7BEC1860"/>
    <w:rsid w:val="7C077EF0"/>
    <w:rsid w:val="7D3C7AE7"/>
    <w:rsid w:val="7D8F3E1A"/>
    <w:rsid w:val="7D972DA0"/>
    <w:rsid w:val="7DD53653"/>
    <w:rsid w:val="7DEC0AC4"/>
    <w:rsid w:val="7E05131F"/>
    <w:rsid w:val="7E176D57"/>
    <w:rsid w:val="7E2936FC"/>
    <w:rsid w:val="7E47152C"/>
    <w:rsid w:val="7E4A3812"/>
    <w:rsid w:val="7E6B758A"/>
    <w:rsid w:val="7E9E4C56"/>
    <w:rsid w:val="7EAE7C2E"/>
    <w:rsid w:val="7EC12482"/>
    <w:rsid w:val="7ED46A48"/>
    <w:rsid w:val="7F1A4F8C"/>
    <w:rsid w:val="7F320B8F"/>
    <w:rsid w:val="7F4C1FA4"/>
    <w:rsid w:val="7F79013E"/>
    <w:rsid w:val="7FBE652E"/>
    <w:rsid w:val="7FDD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spacing w:line="360" w:lineRule="auto"/>
      <w:jc w:val="center"/>
      <w:outlineLvl w:val="0"/>
    </w:pPr>
    <w:rPr>
      <w:rFonts w:ascii="Arial" w:hAnsi="Arial"/>
      <w:b/>
      <w:bCs/>
      <w:sz w:val="24"/>
      <w:szCs w:val="18"/>
    </w:rPr>
  </w:style>
  <w:style w:type="paragraph" w:styleId="2">
    <w:name w:val="heading 2"/>
    <w:basedOn w:val="1"/>
    <w:next w:val="1"/>
    <w:qFormat/>
    <w:uiPriority w:val="0"/>
    <w:pPr>
      <w:adjustRightInd w:val="0"/>
      <w:jc w:val="center"/>
      <w:textAlignment w:val="baseline"/>
      <w:outlineLvl w:val="1"/>
    </w:pPr>
    <w:rPr>
      <w:kern w:val="0"/>
      <w:sz w:val="28"/>
      <w:szCs w:val="20"/>
    </w:rPr>
  </w:style>
  <w:style w:type="paragraph" w:styleId="4">
    <w:name w:val="heading 3"/>
    <w:basedOn w:val="1"/>
    <w:next w:val="1"/>
    <w:link w:val="47"/>
    <w:unhideWhenUsed/>
    <w:qFormat/>
    <w:uiPriority w:val="0"/>
    <w:pPr>
      <w:keepNext/>
      <w:keepLines/>
      <w:spacing w:before="260" w:line="360" w:lineRule="auto"/>
      <w:ind w:firstLine="720" w:firstLineChars="200"/>
      <w:outlineLvl w:val="2"/>
    </w:pPr>
    <w:rPr>
      <w:rFonts w:eastAsia="等线"/>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szCs w:val="21"/>
    </w:rPr>
  </w:style>
  <w:style w:type="paragraph" w:styleId="6">
    <w:name w:val="annotation text"/>
    <w:basedOn w:val="1"/>
    <w:link w:val="26"/>
    <w:qFormat/>
    <w:uiPriority w:val="0"/>
    <w:pPr>
      <w:jc w:val="left"/>
    </w:pPr>
  </w:style>
  <w:style w:type="paragraph" w:styleId="7">
    <w:name w:val="Body Text"/>
    <w:basedOn w:val="1"/>
    <w:next w:val="1"/>
    <w:qFormat/>
    <w:uiPriority w:val="0"/>
    <w:pPr>
      <w:spacing w:line="480" w:lineRule="auto"/>
    </w:pPr>
    <w:rPr>
      <w:sz w:val="24"/>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cs="Courier New" w:eastAsiaTheme="minorEastAsia"/>
      <w:szCs w:val="21"/>
    </w:rPr>
  </w:style>
  <w:style w:type="paragraph" w:styleId="10">
    <w:name w:val="Balloon Text"/>
    <w:basedOn w:val="1"/>
    <w:link w:val="28"/>
    <w:qFormat/>
    <w:uiPriority w:val="0"/>
    <w:rPr>
      <w:sz w:val="18"/>
      <w:szCs w:val="18"/>
    </w:rPr>
  </w:style>
  <w:style w:type="paragraph" w:styleId="11">
    <w:name w:val="footer"/>
    <w:basedOn w:val="1"/>
    <w:link w:val="31"/>
    <w:qFormat/>
    <w:uiPriority w:val="0"/>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beforeLines="0" w:after="120" w:afterLines="0"/>
      <w:ind w:left="180" w:leftChars="75" w:right="-82" w:rightChars="-34"/>
      <w:jc w:val="left"/>
    </w:pPr>
    <w:rPr>
      <w:rFonts w:ascii="宋体" w:hAnsi="宋体"/>
      <w:b/>
      <w:bCs/>
      <w:caps/>
      <w:sz w:val="21"/>
      <w:szCs w:val="21"/>
      <w:lang w:val="en-US" w:eastAsia="zh-CN"/>
    </w:rPr>
  </w:style>
  <w:style w:type="paragraph" w:styleId="14">
    <w:name w:val="Body Text 2"/>
    <w:basedOn w:val="1"/>
    <w:qFormat/>
    <w:uiPriority w:val="0"/>
    <w:rPr>
      <w:rFonts w:ascii="Times New Roman" w:hAnsi="Times New Roman" w:eastAsia="方正楷体_GB2312" w:cs="Times New Roman"/>
      <w:b/>
      <w:bCs/>
    </w:rPr>
  </w:style>
  <w:style w:type="paragraph" w:styleId="15">
    <w:name w:val="annotation subject"/>
    <w:basedOn w:val="6"/>
    <w:next w:val="6"/>
    <w:link w:val="27"/>
    <w:qFormat/>
    <w:uiPriority w:val="0"/>
    <w:rPr>
      <w:b/>
      <w:bCs/>
    </w:rPr>
  </w:style>
  <w:style w:type="paragraph" w:styleId="16">
    <w:name w:val="Body Text First Indent"/>
    <w:basedOn w:val="7"/>
    <w:qFormat/>
    <w:uiPriority w:val="99"/>
    <w:pPr>
      <w:spacing w:after="120" w:line="240" w:lineRule="auto"/>
      <w:ind w:firstLine="420" w:firstLineChars="100"/>
    </w:pPr>
    <w:rPr>
      <w:rFonts w:ascii="Calibri" w:hAnsi="Calibri"/>
      <w:szCs w:val="22"/>
    </w:r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正文文本1"/>
    <w:basedOn w:val="1"/>
    <w:qFormat/>
    <w:uiPriority w:val="0"/>
    <w:pPr>
      <w:shd w:val="clear" w:color="auto" w:fill="FFFFFF"/>
      <w:autoSpaceDE w:val="0"/>
      <w:autoSpaceDN w:val="0"/>
      <w:adjustRightInd w:val="0"/>
      <w:spacing w:line="420" w:lineRule="auto"/>
      <w:jc w:val="left"/>
    </w:pPr>
    <w:rPr>
      <w:rFonts w:ascii="MingLiU" w:hAnsi="MingLiU" w:eastAsia="MingLiU" w:cs="MingLiU"/>
      <w:kern w:val="0"/>
      <w:sz w:val="22"/>
      <w:szCs w:val="22"/>
      <w:lang w:val="zh-CN" w:bidi="zh-CN"/>
    </w:rPr>
  </w:style>
  <w:style w:type="paragraph" w:customStyle="1" w:styleId="24">
    <w:name w:val="列表段落2"/>
    <w:basedOn w:val="1"/>
    <w:qFormat/>
    <w:uiPriority w:val="34"/>
    <w:pPr>
      <w:ind w:firstLine="420" w:firstLineChars="200"/>
    </w:pPr>
  </w:style>
  <w:style w:type="paragraph" w:customStyle="1" w:styleId="25">
    <w:name w:val="列表段落3"/>
    <w:basedOn w:val="1"/>
    <w:qFormat/>
    <w:uiPriority w:val="99"/>
    <w:pPr>
      <w:ind w:firstLine="420" w:firstLineChars="200"/>
    </w:pPr>
  </w:style>
  <w:style w:type="character" w:customStyle="1" w:styleId="26">
    <w:name w:val="批注文字 字符"/>
    <w:basedOn w:val="20"/>
    <w:link w:val="6"/>
    <w:qFormat/>
    <w:uiPriority w:val="0"/>
    <w:rPr>
      <w:rFonts w:ascii="Times New Roman" w:hAnsi="Times New Roman" w:eastAsia="宋体" w:cs="Times New Roman"/>
      <w:kern w:val="2"/>
      <w:sz w:val="21"/>
      <w:szCs w:val="24"/>
    </w:rPr>
  </w:style>
  <w:style w:type="character" w:customStyle="1" w:styleId="27">
    <w:name w:val="批注主题 字符"/>
    <w:basedOn w:val="26"/>
    <w:link w:val="15"/>
    <w:qFormat/>
    <w:uiPriority w:val="0"/>
    <w:rPr>
      <w:rFonts w:ascii="Times New Roman" w:hAnsi="Times New Roman" w:eastAsia="宋体" w:cs="Times New Roman"/>
      <w:b/>
      <w:bCs/>
      <w:kern w:val="2"/>
      <w:sz w:val="21"/>
      <w:szCs w:val="24"/>
    </w:rPr>
  </w:style>
  <w:style w:type="character" w:customStyle="1" w:styleId="28">
    <w:name w:val="批注框文本 字符"/>
    <w:basedOn w:val="20"/>
    <w:link w:val="10"/>
    <w:qFormat/>
    <w:uiPriority w:val="0"/>
    <w:rPr>
      <w:rFonts w:ascii="Times New Roman" w:hAnsi="Times New Roman" w:eastAsia="宋体" w:cs="Times New Roman"/>
      <w:kern w:val="2"/>
      <w:sz w:val="18"/>
      <w:szCs w:val="18"/>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页眉 字符"/>
    <w:basedOn w:val="20"/>
    <w:link w:val="12"/>
    <w:qFormat/>
    <w:uiPriority w:val="0"/>
    <w:rPr>
      <w:rFonts w:ascii="Times New Roman" w:hAnsi="Times New Roman" w:eastAsia="宋体" w:cs="Times New Roman"/>
      <w:kern w:val="2"/>
      <w:sz w:val="18"/>
      <w:szCs w:val="18"/>
    </w:rPr>
  </w:style>
  <w:style w:type="character" w:customStyle="1" w:styleId="31">
    <w:name w:val="页脚 字符"/>
    <w:basedOn w:val="20"/>
    <w:link w:val="11"/>
    <w:qFormat/>
    <w:uiPriority w:val="0"/>
    <w:rPr>
      <w:rFonts w:ascii="Times New Roman" w:hAnsi="Times New Roman" w:eastAsia="宋体" w:cs="Times New Roman"/>
      <w:kern w:val="2"/>
      <w:sz w:val="18"/>
      <w:szCs w:val="18"/>
    </w:rPr>
  </w:style>
  <w:style w:type="paragraph" w:customStyle="1" w:styleId="32">
    <w:name w:val="其他"/>
    <w:basedOn w:val="1"/>
    <w:qFormat/>
    <w:uiPriority w:val="0"/>
    <w:pPr>
      <w:shd w:val="clear" w:color="auto" w:fill="FFFFFF"/>
      <w:spacing w:line="420" w:lineRule="auto"/>
    </w:pPr>
    <w:rPr>
      <w:rFonts w:ascii="MingLiU" w:hAnsi="MingLiU" w:eastAsia="MingLiU"/>
      <w:sz w:val="22"/>
      <w:szCs w:val="22"/>
    </w:rPr>
  </w:style>
  <w:style w:type="paragraph" w:customStyle="1" w:styleId="33">
    <w:name w:val="表格标题"/>
    <w:basedOn w:val="1"/>
    <w:qFormat/>
    <w:uiPriority w:val="0"/>
    <w:pPr>
      <w:shd w:val="clear" w:color="auto" w:fill="FFFFFF"/>
    </w:pPr>
    <w:rPr>
      <w:rFonts w:ascii="MingLiU" w:hAnsi="MingLiU" w:eastAsia="MingLiU"/>
      <w:sz w:val="22"/>
      <w:szCs w:val="22"/>
    </w:rPr>
  </w:style>
  <w:style w:type="paragraph" w:customStyle="1" w:styleId="34">
    <w:name w:val="标题 #6"/>
    <w:basedOn w:val="1"/>
    <w:qFormat/>
    <w:uiPriority w:val="0"/>
    <w:pPr>
      <w:shd w:val="clear" w:color="auto" w:fill="FFFFFF"/>
      <w:spacing w:line="467" w:lineRule="exact"/>
      <w:outlineLvl w:val="5"/>
    </w:pPr>
    <w:rPr>
      <w:rFonts w:ascii="MingLiU" w:hAnsi="MingLiU" w:eastAsia="MingLiU"/>
      <w:b/>
      <w:bCs/>
      <w:sz w:val="22"/>
      <w:szCs w:val="22"/>
    </w:rPr>
  </w:style>
  <w:style w:type="paragraph" w:customStyle="1" w:styleId="35">
    <w:name w:val="List Paragraph1"/>
    <w:basedOn w:val="1"/>
    <w:qFormat/>
    <w:uiPriority w:val="0"/>
    <w:pPr>
      <w:ind w:firstLine="420" w:firstLineChars="200"/>
    </w:pPr>
  </w:style>
  <w:style w:type="character" w:customStyle="1" w:styleId="36">
    <w:name w:val="font31"/>
    <w:basedOn w:val="20"/>
    <w:qFormat/>
    <w:uiPriority w:val="0"/>
    <w:rPr>
      <w:rFonts w:hint="eastAsia" w:ascii="宋体" w:hAnsi="宋体" w:eastAsia="宋体" w:cs="宋体"/>
      <w:color w:val="000000"/>
      <w:sz w:val="22"/>
      <w:szCs w:val="22"/>
      <w:u w:val="none"/>
    </w:rPr>
  </w:style>
  <w:style w:type="character" w:customStyle="1" w:styleId="37">
    <w:name w:val="font21"/>
    <w:basedOn w:val="20"/>
    <w:qFormat/>
    <w:uiPriority w:val="0"/>
    <w:rPr>
      <w:rFonts w:hint="default" w:ascii="Times New Roman" w:hAnsi="Times New Roman" w:cs="Times New Roman"/>
      <w:color w:val="000000"/>
      <w:sz w:val="22"/>
      <w:szCs w:val="22"/>
      <w:u w:val="none"/>
    </w:rPr>
  </w:style>
  <w:style w:type="paragraph" w:customStyle="1" w:styleId="38">
    <w:name w:val="UserStyle_123"/>
    <w:basedOn w:val="1"/>
    <w:qFormat/>
    <w:uiPriority w:val="0"/>
    <w:pPr>
      <w:widowControl/>
      <w:ind w:firstLine="420" w:firstLineChars="200"/>
      <w:textAlignment w:val="baseline"/>
    </w:pPr>
  </w:style>
  <w:style w:type="character" w:customStyle="1" w:styleId="39">
    <w:name w:val="NormalCharacter"/>
    <w:qFormat/>
    <w:uiPriority w:val="0"/>
  </w:style>
  <w:style w:type="paragraph" w:customStyle="1" w:styleId="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 w:type="paragraph" w:styleId="42">
    <w:name w:val="List Paragraph"/>
    <w:basedOn w:val="1"/>
    <w:qFormat/>
    <w:uiPriority w:val="99"/>
    <w:pPr>
      <w:ind w:firstLine="420" w:firstLineChars="200"/>
    </w:pPr>
  </w:style>
  <w:style w:type="paragraph" w:customStyle="1" w:styleId="4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标题 1 字符"/>
    <w:basedOn w:val="20"/>
    <w:link w:val="3"/>
    <w:qFormat/>
    <w:uiPriority w:val="0"/>
    <w:rPr>
      <w:rFonts w:ascii="Arial" w:hAnsi="Arial"/>
      <w:b/>
      <w:bCs/>
      <w:kern w:val="2"/>
      <w:sz w:val="24"/>
      <w:szCs w:val="18"/>
    </w:rPr>
  </w:style>
  <w:style w:type="paragraph" w:customStyle="1" w:styleId="4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标题 3 字符"/>
    <w:basedOn w:val="20"/>
    <w:link w:val="4"/>
    <w:qFormat/>
    <w:uiPriority w:val="0"/>
    <w:rPr>
      <w:rFonts w:eastAsia="等线"/>
      <w:b/>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区生态环境分局</Company>
  <Pages>3</Pages>
  <Words>1608</Words>
  <Characters>1639</Characters>
  <Lines>132</Lines>
  <Paragraphs>106</Paragraphs>
  <TotalTime>8</TotalTime>
  <ScaleCrop>false</ScaleCrop>
  <LinksUpToDate>false</LinksUpToDate>
  <CharactersWithSpaces>1639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2025-05-14T02:05:00Z</dcterms:created>
  <dc:creator>吴凤齐</dc:creator>
  <cp:lastModifiedBy>南船</cp:lastModifiedBy>
  <cp:lastPrinted>2025-05-26T01:36:00Z</cp:lastPrinted>
  <dcterms:modified xsi:type="dcterms:W3CDTF">2025-09-10T07:14:34Z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5BA797E62CC042ED938EA9E2124C41A5_13</vt:lpwstr>
  </property>
  <property fmtid="{D5CDD505-2E9C-101B-9397-08002B2CF9AE}" pid="4" name="KSOTemplateDocerSaveRecord">
    <vt:lpwstr>eyJoZGlkIjoiZmNhMzI2NWFjZjRmMDZjNGE2NmQxOWZkNTYyOTIyNGEiLCJ1c2VySWQiOiIxNDI5NDUwMjc3In0=</vt:lpwstr>
  </property>
</Properties>
</file>