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C903E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研究级正置荧光显微镜及成像系统采购需求说明书</w:t>
      </w:r>
    </w:p>
    <w:p w14:paraId="2A18FFB9">
      <w:pPr>
        <w:pStyle w:val="16"/>
        <w:spacing w:before="0"/>
        <w:ind w:left="0" w:right="0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</w:p>
    <w:p w14:paraId="7C2047E7">
      <w:pPr>
        <w:pStyle w:val="16"/>
        <w:spacing w:before="0"/>
        <w:ind w:left="0" w:right="0"/>
        <w:jc w:val="both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采购需求内容如下：</w:t>
      </w:r>
    </w:p>
    <w:p w14:paraId="5D8A8C12">
      <w:pPr>
        <w:pStyle w:val="16"/>
        <w:spacing w:before="0"/>
        <w:ind w:left="0" w:right="0"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本中心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现需要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采购一台研究级正置荧光显微镜及成像系统以满足实验室检测需求。</w:t>
      </w:r>
    </w:p>
    <w:p w14:paraId="5B425676">
      <w:pPr>
        <w:pStyle w:val="16"/>
        <w:spacing w:before="0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配置要求</w:t>
      </w:r>
    </w:p>
    <w:tbl>
      <w:tblPr>
        <w:tblStyle w:val="7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650"/>
      </w:tblGrid>
      <w:tr w14:paraId="2C9E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center"/>
          </w:tcPr>
          <w:p w14:paraId="5CCA09E0">
            <w:pPr>
              <w:pStyle w:val="16"/>
              <w:spacing w:before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技术参数</w:t>
            </w:r>
          </w:p>
        </w:tc>
        <w:tc>
          <w:tcPr>
            <w:tcW w:w="7650" w:type="dxa"/>
            <w:noWrap w:val="0"/>
            <w:vAlign w:val="top"/>
          </w:tcPr>
          <w:p w14:paraId="43A73EFC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1.1 光学系统：IC2S无限远色差反差双重校正光学系统，45mm国际标准物镜齐焦距离。可实现观察方法：明场、荧光观察，可升级暗场，相差，微分干涉，PlasDIC。</w:t>
            </w:r>
          </w:p>
          <w:p w14:paraId="54E161F8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1.2 同轴粗微调焦机构，粗调一圈4mm，微调一圈0.4mm及最小4μm的刻度，内置免调节防下滑机构，不采用易损的外部松紧调节环。</w:t>
            </w:r>
          </w:p>
          <w:p w14:paraId="1D2292AA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1.3 明场照明装置</w:t>
            </w:r>
          </w:p>
          <w:p w14:paraId="56B146BE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1.3.1主动光强管理系统，可适用于所有物镜，用于自动调节对应物镜的光强度。</w:t>
            </w:r>
          </w:p>
          <w:p w14:paraId="5E060933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1.3.2内置透射光科勒照明器，高亮度高演色性LED长寿命光源，功率10W，大于60000小时使用寿命，无需额外供电，可兼容DIC观察方式。</w:t>
            </w:r>
          </w:p>
          <w:p w14:paraId="4BC15C3A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1.4 机身具有六位透射光滤片转轮。</w:t>
            </w:r>
          </w:p>
          <w:p w14:paraId="21770570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 载物台：高抗磨损性圆角、无槽金属阳极化处理载物台，载物台手柄松紧度高度可调，玻片样品夹持器。</w:t>
            </w:r>
          </w:p>
          <w:p w14:paraId="1FFF24BD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1.6宽视野三目镜筒，视场数≥23mm，倾角30度。目镜筒360度自由旋转，实现40mm观察高度调节。具有光闸功能，荧光观察时可屏蔽外界光进入目镜造成的干扰。</w:t>
            </w:r>
          </w:p>
          <w:p w14:paraId="15D257ED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1.7  10倍超宽视野目镜，高眼点设计，视场数≥23mm，双目屈光度可调。</w:t>
            </w:r>
          </w:p>
          <w:p w14:paraId="33CA44A6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1.8  6位编码型物镜转换器，不同倍数物镜可分别定义光强，切换时自动匹配亮度。</w:t>
            </w:r>
          </w:p>
          <w:p w14:paraId="788A68A4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1.9  全套高品质物镜：</w:t>
            </w:r>
          </w:p>
          <w:p w14:paraId="18ED820B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高反差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场消色差物镜 10×，数值孔径：NA≥0.25;</w:t>
            </w:r>
          </w:p>
          <w:p w14:paraId="396D3C85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高反差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平场消色差物镜 20×，数值孔径：NA≥0.45;</w:t>
            </w:r>
          </w:p>
          <w:p w14:paraId="36D50108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高性能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荧光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物镜 40×，数值孔径：NA≥0.65；</w:t>
            </w:r>
          </w:p>
          <w:p w14:paraId="6884D92D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高反差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平场消色差油镜 100×，数值孔径：NA≥1.25。</w:t>
            </w:r>
          </w:p>
          <w:p w14:paraId="14C77C90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1.10 聚光镜：非摆动式聚光镜：NA≥0.9/1.25。在5x物镜观察下，无需摆动操作；带科勒照明调整后锁定装置。</w:t>
            </w:r>
          </w:p>
          <w:p w14:paraId="4164CA91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1.11主机架上下分体，可加垫高模块，增大样品空间，不用化学药品的绿色环保防霉技术。</w:t>
            </w:r>
          </w:p>
          <w:p w14:paraId="391FD115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1.12 样品空间：视标本厚度的不同以及配置不同，样品空间从0~110mm连续可调,满足大样本的观察需要。</w:t>
            </w:r>
          </w:p>
          <w:p w14:paraId="7594C724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1.13集成节能和为了延长照明寿命的Eco-mode，当显微镜在空闲15分钟后会自动进入待机状态。</w:t>
            </w:r>
          </w:p>
          <w:p w14:paraId="750B94A3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  荧光系统：</w:t>
            </w:r>
          </w:p>
          <w:p w14:paraId="77832F33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2.1 荧光光源：130W长寿命金属卤化物灯（3000个小时）</w:t>
            </w:r>
          </w:p>
          <w:p w14:paraId="12B10AA8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2.2 机身集成透射光电动光闸，一键切换荧光及透射光观察方式，切换到荧光时，透射光光闸自动关闭。</w:t>
            </w:r>
          </w:p>
          <w:p w14:paraId="7907E31D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2.3 荧光滤色镜套：红、蓝、绿带通滤色块</w:t>
            </w:r>
          </w:p>
          <w:p w14:paraId="5777CAA0">
            <w:pPr>
              <w:spacing w:line="200" w:lineRule="atLeas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2.4  荧光激发块转盘：≥6孔。</w:t>
            </w:r>
          </w:p>
          <w:p w14:paraId="63AF3097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3.科研级彩色数码相机： </w:t>
            </w:r>
          </w:p>
          <w:p w14:paraId="7CDE65FC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3.1芯片尺寸≥1英寸；物理像素≥2000万，5472(H) x 3648(V)；</w:t>
            </w:r>
          </w:p>
          <w:p w14:paraId="3338E05D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 像素大小：2.40μm x 2.40μm</w:t>
            </w:r>
          </w:p>
          <w:p w14:paraId="0AB6E04D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 采集速度：14 fps @ 20MP</w:t>
            </w:r>
          </w:p>
          <w:p w14:paraId="19D0B3DD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3.4 位数：16 bit , 8 bit</w:t>
            </w:r>
          </w:p>
          <w:p w14:paraId="6865597A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曝光时间：18 μs～3000 s @ 20 MP</w:t>
            </w:r>
          </w:p>
          <w:p w14:paraId="6F0C6D0B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4.专业分析软件</w:t>
            </w:r>
          </w:p>
          <w:p w14:paraId="77865ABC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 控制采集:一键采集,图像格式可选择:JPEG/BMP/PNG/TIFF</w:t>
            </w:r>
          </w:p>
          <w:p w14:paraId="214C6888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4.2 测量:静态图像的两点间距、平行线距、角度、弧度、圆半径、任意多边形的面积、周长等多种测量方式.</w:t>
            </w:r>
          </w:p>
          <w:p w14:paraId="7AD8A081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4.3 实时图像拼接：动态的捕捉定量位移后的图像后自动后台无缝拼接，完美展现超大视野全景显微图像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BB3A58F">
            <w:pPr>
              <w:spacing w:line="2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4.4 实时景深融合:对不同焦平面的光学显微镜图像(同一视场)的图像进行融合,可以实现在高倍显微镜下对大落差样品表面的整体观察,解决显微镜景深小的问题。</w:t>
            </w:r>
          </w:p>
          <w:p w14:paraId="6C95FDA3">
            <w:pPr>
              <w:pStyle w:val="16"/>
              <w:spacing w:line="400" w:lineRule="exact"/>
              <w:ind w:left="0" w:right="85"/>
              <w:rPr>
                <w:rFonts w:hint="eastAsia" w:ascii="仿宋_GB2312" w:hAnsi="仿宋_GB2312" w:eastAsia="宋体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4.5 图像处理：可提供以下图像处理操作：图像调整、图像染色、荧光合成、高级计算成像、二值化、直方图、图像平滑、滤色/提色/反色。可以对图像进行反卷积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1C86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7" w:type="dxa"/>
            <w:noWrap w:val="0"/>
            <w:vAlign w:val="center"/>
          </w:tcPr>
          <w:p w14:paraId="04009C74">
            <w:pPr>
              <w:pStyle w:val="16"/>
              <w:spacing w:before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配置清单</w:t>
            </w:r>
          </w:p>
        </w:tc>
        <w:tc>
          <w:tcPr>
            <w:tcW w:w="7650" w:type="dxa"/>
            <w:noWrap w:val="0"/>
            <w:vAlign w:val="top"/>
          </w:tcPr>
          <w:p w14:paraId="4285ACC5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研究级显微镜主机</w:t>
            </w:r>
          </w:p>
          <w:p w14:paraId="1C4693CC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载物台支架</w:t>
            </w:r>
          </w:p>
          <w:p w14:paraId="07C39CA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聚光镜支架</w:t>
            </w:r>
          </w:p>
          <w:p w14:paraId="58C4BE44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机械载物台</w:t>
            </w:r>
          </w:p>
          <w:p w14:paraId="250D8D27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75x25mm 双玻片样品夹</w:t>
            </w:r>
          </w:p>
          <w:p w14:paraId="04D54217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三目观察筒(100:0/0:100分光)</w:t>
            </w:r>
          </w:p>
          <w:p w14:paraId="68B1D25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中灰滤片组</w:t>
            </w:r>
          </w:p>
          <w:p w14:paraId="44AC946D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目镜（10X，23视场）</w:t>
            </w:r>
          </w:p>
          <w:p w14:paraId="0A54B161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Eyepiece eyecup 目镜罩</w:t>
            </w:r>
          </w:p>
          <w:p w14:paraId="3D384686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聚光镜</w:t>
            </w:r>
          </w:p>
          <w:p w14:paraId="403FE6B2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高性能平场荧光物镜 镜10X，NA 0.25</w:t>
            </w:r>
          </w:p>
          <w:p w14:paraId="471C7811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高反差平场消色差物镜20X，NA 0.45</w:t>
            </w:r>
          </w:p>
          <w:p w14:paraId="63BC90F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高性能平场荧光物镜 40×，NA 0.65</w:t>
            </w:r>
          </w:p>
          <w:p w14:paraId="5950B46E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高反差平场消色差物镜100X，NA 1.25 oil</w:t>
            </w:r>
          </w:p>
          <w:p w14:paraId="1FF8F101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6位荧光转盘</w:t>
            </w:r>
          </w:p>
          <w:p w14:paraId="0F70C7BA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荧光光源</w:t>
            </w:r>
          </w:p>
          <w:p w14:paraId="5A339FBF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荧光滤色镜套支架</w:t>
            </w:r>
          </w:p>
          <w:p w14:paraId="1B8FDAC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 xml:space="preserve">荧光滤色镜套（DAPI）  </w:t>
            </w:r>
          </w:p>
          <w:p w14:paraId="4FF2ED02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 xml:space="preserve">荧光滤色镜套（FITC）  </w:t>
            </w:r>
          </w:p>
          <w:p w14:paraId="60AADCE9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荧光滤色镜套（TexasRed）</w:t>
            </w:r>
          </w:p>
          <w:p w14:paraId="215DDBD0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21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1.0x 照相接口</w:t>
            </w:r>
          </w:p>
          <w:p w14:paraId="7521290B">
            <w:pPr>
              <w:widowControl w:val="0"/>
              <w:jc w:val="left"/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数码相机及分析软件</w:t>
            </w:r>
          </w:p>
          <w:p w14:paraId="5F5326A0">
            <w:pPr>
              <w:pStyle w:val="16"/>
              <w:spacing w:before="0" w:line="400" w:lineRule="exact"/>
              <w:ind w:left="0" w:right="85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18"/>
                <w:lang w:eastAsia="zh-CN"/>
              </w:rPr>
              <w:t>配套电脑</w:t>
            </w:r>
          </w:p>
        </w:tc>
      </w:tr>
    </w:tbl>
    <w:p w14:paraId="50116654">
      <w:pPr>
        <w:pStyle w:val="16"/>
        <w:spacing w:before="0"/>
        <w:ind w:left="0" w:right="0"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、服务要求</w:t>
      </w:r>
    </w:p>
    <w:p w14:paraId="14DE9692">
      <w:pPr>
        <w:pStyle w:val="16"/>
        <w:spacing w:before="0"/>
        <w:ind w:left="0" w:right="0"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货期及安装要求：货期两个月内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负责仪器的拆卸、搬运、安装、调试等所有流程的技术服务。在仪器安装调试结束后，按照上述技术参数及合同要求对所提供仪器验收。</w:t>
      </w:r>
    </w:p>
    <w:p w14:paraId="550EE8D5">
      <w:pPr>
        <w:pStyle w:val="16"/>
        <w:spacing w:before="0"/>
        <w:ind w:left="0" w:right="0" w:firstLine="640" w:firstLineChars="20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2.仪器保修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年，从安装调试验收合格之日起计算，期间由于仪器故障（正常使用情况下出现）所产生的维修相关费用全免。</w:t>
      </w:r>
    </w:p>
    <w:p w14:paraId="2DA403D2">
      <w:pPr>
        <w:pStyle w:val="16"/>
        <w:spacing w:before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3.培训要求：提供现场免费培训。</w:t>
      </w:r>
    </w:p>
    <w:p w14:paraId="281C903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4.响应要求：仪器发生故障，在24小时内给予回复和专业维修的电话指导，并及时到达现场进行维修。</w:t>
      </w:r>
      <w:bookmarkStart w:id="0" w:name="_GoBack"/>
      <w:bookmarkEnd w:id="0"/>
    </w:p>
    <w:p w14:paraId="0987BDF8">
      <w:pPr>
        <w:pStyle w:val="16"/>
        <w:spacing w:before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BF73FE-87A8-47C1-A315-7B97BB1EC3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06F35B-E64D-44AA-A12D-D507515369FD}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Book Antiqua">
    <w:altName w:val="Times New Roman"/>
    <w:panose1 w:val="02040602050305030304"/>
    <w:charset w:val="00"/>
    <w:family w:val="roman"/>
    <w:pitch w:val="default"/>
    <w:sig w:usb0="00000287" w:usb1="00000000" w:usb2="00000000" w:usb3="00000000" w:csb0="0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FF8C3C2D-AF90-4620-B2F1-59107F196838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0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UsImhkaWQiOiJhMWM5NGJhNDU3YjNhN2Q3OGIyY2FjYzI5MjFkMzNkZiIsInVzZXJDb3VudCI6Nn0="/>
  </w:docVars>
  <w:rsids>
    <w:rsidRoot w:val="00172A27"/>
    <w:rsid w:val="000F31B5"/>
    <w:rsid w:val="00113C09"/>
    <w:rsid w:val="00114CDD"/>
    <w:rsid w:val="001540F8"/>
    <w:rsid w:val="001A1EE1"/>
    <w:rsid w:val="00225DD6"/>
    <w:rsid w:val="0023162C"/>
    <w:rsid w:val="00231C8F"/>
    <w:rsid w:val="00264AF5"/>
    <w:rsid w:val="00275CF0"/>
    <w:rsid w:val="002C5B17"/>
    <w:rsid w:val="002D38E5"/>
    <w:rsid w:val="002D3C99"/>
    <w:rsid w:val="00306CED"/>
    <w:rsid w:val="00372069"/>
    <w:rsid w:val="003764BE"/>
    <w:rsid w:val="003964D9"/>
    <w:rsid w:val="003A07F6"/>
    <w:rsid w:val="004338C5"/>
    <w:rsid w:val="004F1FE1"/>
    <w:rsid w:val="00587381"/>
    <w:rsid w:val="005D336C"/>
    <w:rsid w:val="006B28B1"/>
    <w:rsid w:val="00756B89"/>
    <w:rsid w:val="007731D7"/>
    <w:rsid w:val="00806758"/>
    <w:rsid w:val="0081563E"/>
    <w:rsid w:val="0084500A"/>
    <w:rsid w:val="00850286"/>
    <w:rsid w:val="00854096"/>
    <w:rsid w:val="008F4AF9"/>
    <w:rsid w:val="008F51C4"/>
    <w:rsid w:val="00945F62"/>
    <w:rsid w:val="00992943"/>
    <w:rsid w:val="009F1D68"/>
    <w:rsid w:val="00A10D44"/>
    <w:rsid w:val="00A87F82"/>
    <w:rsid w:val="00A94B1B"/>
    <w:rsid w:val="00B730F2"/>
    <w:rsid w:val="00C36CD9"/>
    <w:rsid w:val="00C71D61"/>
    <w:rsid w:val="00CA6E43"/>
    <w:rsid w:val="00D0779B"/>
    <w:rsid w:val="00D57CEC"/>
    <w:rsid w:val="00FA0E19"/>
    <w:rsid w:val="00FB6183"/>
    <w:rsid w:val="00FD5B0E"/>
    <w:rsid w:val="015A704D"/>
    <w:rsid w:val="018409B7"/>
    <w:rsid w:val="0187402D"/>
    <w:rsid w:val="01D13030"/>
    <w:rsid w:val="0342432D"/>
    <w:rsid w:val="04EF039B"/>
    <w:rsid w:val="051169A9"/>
    <w:rsid w:val="053308F1"/>
    <w:rsid w:val="059565ED"/>
    <w:rsid w:val="07316028"/>
    <w:rsid w:val="07B354B0"/>
    <w:rsid w:val="087F53D8"/>
    <w:rsid w:val="08DA1A6E"/>
    <w:rsid w:val="09F162E9"/>
    <w:rsid w:val="0BAF6137"/>
    <w:rsid w:val="0C156A8C"/>
    <w:rsid w:val="0C2661F0"/>
    <w:rsid w:val="0C5E67B3"/>
    <w:rsid w:val="0C8C0749"/>
    <w:rsid w:val="0CB56867"/>
    <w:rsid w:val="0CBC52AE"/>
    <w:rsid w:val="0E044B9A"/>
    <w:rsid w:val="0E167C21"/>
    <w:rsid w:val="0E2772E2"/>
    <w:rsid w:val="0E4178BF"/>
    <w:rsid w:val="10687DDF"/>
    <w:rsid w:val="10E36DA6"/>
    <w:rsid w:val="11296A34"/>
    <w:rsid w:val="11CF48C6"/>
    <w:rsid w:val="11E04305"/>
    <w:rsid w:val="11E47469"/>
    <w:rsid w:val="128D0B7C"/>
    <w:rsid w:val="13BB0760"/>
    <w:rsid w:val="13D96891"/>
    <w:rsid w:val="140D3692"/>
    <w:rsid w:val="142E11FF"/>
    <w:rsid w:val="14A26068"/>
    <w:rsid w:val="14C85297"/>
    <w:rsid w:val="164107F7"/>
    <w:rsid w:val="16877182"/>
    <w:rsid w:val="178C5AA1"/>
    <w:rsid w:val="17AF5CBF"/>
    <w:rsid w:val="198804EA"/>
    <w:rsid w:val="19ED1338"/>
    <w:rsid w:val="19FA01DC"/>
    <w:rsid w:val="19FF15CA"/>
    <w:rsid w:val="1AC71DC4"/>
    <w:rsid w:val="1CEE3EA2"/>
    <w:rsid w:val="1D3A21FE"/>
    <w:rsid w:val="1DE77B5C"/>
    <w:rsid w:val="1E953001"/>
    <w:rsid w:val="1FD50B49"/>
    <w:rsid w:val="1FDB470E"/>
    <w:rsid w:val="200263C2"/>
    <w:rsid w:val="20EC4A4D"/>
    <w:rsid w:val="21025026"/>
    <w:rsid w:val="21C21FA3"/>
    <w:rsid w:val="21E3195B"/>
    <w:rsid w:val="23C07A1D"/>
    <w:rsid w:val="24504CB1"/>
    <w:rsid w:val="26426B6D"/>
    <w:rsid w:val="26AA7CF2"/>
    <w:rsid w:val="290D02FD"/>
    <w:rsid w:val="29AF0E04"/>
    <w:rsid w:val="2A122468"/>
    <w:rsid w:val="2AED5E7D"/>
    <w:rsid w:val="2BBE060A"/>
    <w:rsid w:val="2BED1C8B"/>
    <w:rsid w:val="2BFD63B3"/>
    <w:rsid w:val="2D1E7B7F"/>
    <w:rsid w:val="2E4F6312"/>
    <w:rsid w:val="2E924774"/>
    <w:rsid w:val="2ED1017B"/>
    <w:rsid w:val="2F525233"/>
    <w:rsid w:val="2FE43584"/>
    <w:rsid w:val="3073229F"/>
    <w:rsid w:val="30790319"/>
    <w:rsid w:val="31332F9C"/>
    <w:rsid w:val="32367636"/>
    <w:rsid w:val="32771258"/>
    <w:rsid w:val="33A70AE5"/>
    <w:rsid w:val="33F23FC7"/>
    <w:rsid w:val="371840E9"/>
    <w:rsid w:val="377F1C34"/>
    <w:rsid w:val="37A21D75"/>
    <w:rsid w:val="393D31F5"/>
    <w:rsid w:val="395842DB"/>
    <w:rsid w:val="3AD5051B"/>
    <w:rsid w:val="3AE74C19"/>
    <w:rsid w:val="3B1D3D80"/>
    <w:rsid w:val="3D2F340E"/>
    <w:rsid w:val="3DE15BC8"/>
    <w:rsid w:val="3DE360D7"/>
    <w:rsid w:val="3DEF059F"/>
    <w:rsid w:val="3E013018"/>
    <w:rsid w:val="3E7320C8"/>
    <w:rsid w:val="3EFD145A"/>
    <w:rsid w:val="3FE7E54D"/>
    <w:rsid w:val="4096687E"/>
    <w:rsid w:val="419046BE"/>
    <w:rsid w:val="419B1A30"/>
    <w:rsid w:val="43547FC2"/>
    <w:rsid w:val="438349C5"/>
    <w:rsid w:val="442A5561"/>
    <w:rsid w:val="45B81805"/>
    <w:rsid w:val="46DF0E9A"/>
    <w:rsid w:val="47372A84"/>
    <w:rsid w:val="47525985"/>
    <w:rsid w:val="47E328E8"/>
    <w:rsid w:val="488B4811"/>
    <w:rsid w:val="48A5326E"/>
    <w:rsid w:val="48D8049D"/>
    <w:rsid w:val="48DA5C15"/>
    <w:rsid w:val="4B3003AF"/>
    <w:rsid w:val="4B9506C1"/>
    <w:rsid w:val="4BAB6D5B"/>
    <w:rsid w:val="4CD3324F"/>
    <w:rsid w:val="4CF124C7"/>
    <w:rsid w:val="4F18124A"/>
    <w:rsid w:val="4F406CAC"/>
    <w:rsid w:val="4FE6264D"/>
    <w:rsid w:val="5022158D"/>
    <w:rsid w:val="50EC2727"/>
    <w:rsid w:val="515E0CBF"/>
    <w:rsid w:val="51BF4278"/>
    <w:rsid w:val="54581970"/>
    <w:rsid w:val="55A535FB"/>
    <w:rsid w:val="55EF2E09"/>
    <w:rsid w:val="56750307"/>
    <w:rsid w:val="579826A8"/>
    <w:rsid w:val="58B77D8F"/>
    <w:rsid w:val="58E624A6"/>
    <w:rsid w:val="5B531ADB"/>
    <w:rsid w:val="5C1D0043"/>
    <w:rsid w:val="5CC64128"/>
    <w:rsid w:val="5CDDEF45"/>
    <w:rsid w:val="5D7739CD"/>
    <w:rsid w:val="5D8453A4"/>
    <w:rsid w:val="5E10532D"/>
    <w:rsid w:val="5FDF073B"/>
    <w:rsid w:val="5FFD5F56"/>
    <w:rsid w:val="603B5086"/>
    <w:rsid w:val="60AD4FAB"/>
    <w:rsid w:val="61B961DF"/>
    <w:rsid w:val="61CD0301"/>
    <w:rsid w:val="61E7772C"/>
    <w:rsid w:val="629148C2"/>
    <w:rsid w:val="62B247EF"/>
    <w:rsid w:val="64734491"/>
    <w:rsid w:val="64AF6BD4"/>
    <w:rsid w:val="64FE4139"/>
    <w:rsid w:val="67D31B60"/>
    <w:rsid w:val="68046A6D"/>
    <w:rsid w:val="683E1DD2"/>
    <w:rsid w:val="6925119B"/>
    <w:rsid w:val="6A343805"/>
    <w:rsid w:val="6AD93CCF"/>
    <w:rsid w:val="6ADC30DD"/>
    <w:rsid w:val="6AF6662F"/>
    <w:rsid w:val="6BA8732E"/>
    <w:rsid w:val="6BCABAA8"/>
    <w:rsid w:val="6BF76CF4"/>
    <w:rsid w:val="6CC20C65"/>
    <w:rsid w:val="6ECE1D5E"/>
    <w:rsid w:val="6EEC620D"/>
    <w:rsid w:val="6FDB682E"/>
    <w:rsid w:val="719C621B"/>
    <w:rsid w:val="7268216A"/>
    <w:rsid w:val="732A4A96"/>
    <w:rsid w:val="73A128A5"/>
    <w:rsid w:val="73AF1966"/>
    <w:rsid w:val="73E9798B"/>
    <w:rsid w:val="73EC5DA2"/>
    <w:rsid w:val="759B4903"/>
    <w:rsid w:val="75BB0884"/>
    <w:rsid w:val="77785CE2"/>
    <w:rsid w:val="78031871"/>
    <w:rsid w:val="790A7749"/>
    <w:rsid w:val="79B166C0"/>
    <w:rsid w:val="7AAD2AD4"/>
    <w:rsid w:val="7B1E187B"/>
    <w:rsid w:val="7B28499C"/>
    <w:rsid w:val="7B6908AD"/>
    <w:rsid w:val="7C4003F3"/>
    <w:rsid w:val="7CABFFC7"/>
    <w:rsid w:val="7DC70A34"/>
    <w:rsid w:val="7DF969B8"/>
    <w:rsid w:val="7E5E3288"/>
    <w:rsid w:val="7EE57FC8"/>
    <w:rsid w:val="7FC918E0"/>
    <w:rsid w:val="7FCC131D"/>
    <w:rsid w:val="7FD77802"/>
    <w:rsid w:val="7FDE1157"/>
    <w:rsid w:val="7FDF6072"/>
    <w:rsid w:val="7FF89439"/>
    <w:rsid w:val="7FFFCEC0"/>
    <w:rsid w:val="B7FE87F0"/>
    <w:rsid w:val="B99F3528"/>
    <w:rsid w:val="BCFB0DA4"/>
    <w:rsid w:val="C7EF379C"/>
    <w:rsid w:val="D6FFE11A"/>
    <w:rsid w:val="DBF5C38E"/>
    <w:rsid w:val="E3FDB32E"/>
    <w:rsid w:val="E7758949"/>
    <w:rsid w:val="EF39F94D"/>
    <w:rsid w:val="EFFA510F"/>
    <w:rsid w:val="FA3E4E52"/>
    <w:rsid w:val="FB9E0403"/>
    <w:rsid w:val="FDF67DE4"/>
    <w:rsid w:val="FFEE5850"/>
    <w:rsid w:val="FFEFA315"/>
    <w:rsid w:val="FFEFF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en-US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/>
      <w:kern w:val="2"/>
      <w:sz w:val="18"/>
      <w:szCs w:val="18"/>
      <w:lang w:eastAsia="zh-CN"/>
    </w:rPr>
  </w:style>
  <w:style w:type="paragraph" w:styleId="5">
    <w:name w:val="header"/>
    <w:basedOn w:val="1"/>
    <w:link w:val="13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2"/>
      <w:sz w:val="18"/>
      <w:szCs w:val="18"/>
      <w:lang w:eastAsia="zh-CN"/>
    </w:rPr>
  </w:style>
  <w:style w:type="paragraph" w:styleId="6">
    <w:name w:val="annotation subject"/>
    <w:basedOn w:val="2"/>
    <w:next w:val="2"/>
    <w:link w:val="14"/>
    <w:unhideWhenUsed/>
    <w:uiPriority w:val="99"/>
    <w:rPr>
      <w:b/>
      <w:bCs/>
    </w:rPr>
  </w:style>
  <w:style w:type="character" w:styleId="9">
    <w:name w:val="annotation reference"/>
    <w:unhideWhenUsed/>
    <w:uiPriority w:val="99"/>
    <w:rPr>
      <w:sz w:val="21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批注文字 Char"/>
    <w:link w:val="2"/>
    <w:semiHidden/>
    <w:uiPriority w:val="99"/>
    <w:rPr>
      <w:lang w:eastAsia="en-US"/>
    </w:rPr>
  </w:style>
  <w:style w:type="character" w:customStyle="1" w:styleId="12">
    <w:name w:val="批注框文本 Char"/>
    <w:link w:val="3"/>
    <w:semiHidden/>
    <w:uiPriority w:val="99"/>
    <w:rPr>
      <w:sz w:val="18"/>
      <w:szCs w:val="18"/>
      <w:lang w:eastAsia="en-US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批注主题 Char"/>
    <w:link w:val="6"/>
    <w:semiHidden/>
    <w:uiPriority w:val="99"/>
    <w:rPr>
      <w:b/>
      <w:bCs/>
      <w:lang w:eastAsia="en-US"/>
    </w:rPr>
  </w:style>
  <w:style w:type="paragraph" w:customStyle="1" w:styleId="15">
    <w:name w:val="Section Heading"/>
    <w:basedOn w:val="1"/>
    <w:qFormat/>
    <w:uiPriority w:val="0"/>
    <w:rPr>
      <w:rFonts w:ascii="Book Antiqua" w:hAnsi="Book Antiqua"/>
      <w:b/>
      <w:sz w:val="24"/>
    </w:rPr>
  </w:style>
  <w:style w:type="paragraph" w:customStyle="1" w:styleId="16">
    <w:name w:val="narrat style"/>
    <w:basedOn w:val="15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7">
    <w:name w:val="form text"/>
    <w:basedOn w:val="1"/>
    <w:uiPriority w:val="0"/>
    <w:pPr>
      <w:spacing w:before="120"/>
    </w:pPr>
    <w:rPr>
      <w:b/>
      <w:i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项目需求建议书.docx</Template>
  <Company>Hewlett-Packard Company</Company>
  <Pages>3</Pages>
  <Words>1963</Words>
  <Characters>2351</Characters>
  <Lines>12</Lines>
  <Paragraphs>3</Paragraphs>
  <TotalTime>253</TotalTime>
  <ScaleCrop>false</ScaleCrop>
  <LinksUpToDate>false</LinksUpToDate>
  <CharactersWithSpaces>2440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2022-09-16T16:27:00Z</dcterms:created>
  <dc:creator>梁洁余</dc:creator>
  <cp:lastModifiedBy>梁洁余</cp:lastModifiedBy>
  <dcterms:modified xsi:type="dcterms:W3CDTF">2025-07-21T07:11:04Z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v1.0_mb_QueX9IosyImQoaTivc+9AQ==</vt:lpwstr>
  </property>
  <property fmtid="{D5CDD505-2E9C-101B-9397-08002B2CF9AE}" pid="4" name="ICV">
    <vt:lpwstr>8C7238C0BA4C4B0584C4017EFBDB875A_13</vt:lpwstr>
  </property>
  <property fmtid="{D5CDD505-2E9C-101B-9397-08002B2CF9AE}" pid="5" name="KSOTemplateDocerSaveRecord">
    <vt:lpwstr>eyJoZGlkIjoiNDU2MTYyZDc2NTRlNzYxYWEwZGJjNGUyYzVjOTMwNGYiLCJ1c2VySWQiOiIzODY5MDY4NjMifQ==</vt:lpwstr>
  </property>
</Properties>
</file>