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903E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研究级正置荧光显微镜及成像系统采购需求说明书</w:t>
      </w:r>
    </w:p>
    <w:p w14:paraId="2A18FFB9">
      <w:pPr>
        <w:pStyle w:val="16"/>
        <w:spacing w:before="0"/>
        <w:ind w:left="0" w:right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7C2047E7">
      <w:pPr>
        <w:pStyle w:val="16"/>
        <w:spacing w:before="0"/>
        <w:ind w:left="0" w:right="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采购需求内容如下：</w:t>
      </w:r>
    </w:p>
    <w:p w14:paraId="5D8A8C12">
      <w:pPr>
        <w:pStyle w:val="16"/>
        <w:spacing w:before="0"/>
        <w:ind w:left="0" w:right="0"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本中心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现需要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采购一台研究级正置荧光显微镜及成像系统以满足实验室检测需求。</w:t>
      </w:r>
    </w:p>
    <w:p w14:paraId="5B425676">
      <w:pPr>
        <w:pStyle w:val="16"/>
        <w:spacing w:before="0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配置要求</w:t>
      </w:r>
    </w:p>
    <w:tbl>
      <w:tblPr>
        <w:tblStyle w:val="7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650"/>
      </w:tblGrid>
      <w:tr w14:paraId="2C9E4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center"/>
          </w:tcPr>
          <w:p w14:paraId="5CCA09E0">
            <w:pPr>
              <w:pStyle w:val="16"/>
              <w:spacing w:before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技术参数</w:t>
            </w:r>
          </w:p>
        </w:tc>
        <w:tc>
          <w:tcPr>
            <w:tcW w:w="7650" w:type="dxa"/>
            <w:noWrap w:val="0"/>
            <w:vAlign w:val="top"/>
          </w:tcPr>
          <w:p w14:paraId="43A73EFC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1.1 光学系统：IC2S无限远色差反差双重校正光学系统，45mm国际标准物镜齐焦距离。可实现观察方法：明场、荧光观察，可升级暗场，相差，微分干涉，PlasDIC。</w:t>
            </w:r>
          </w:p>
          <w:p w14:paraId="54E161F8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1.2 同轴粗微调焦机构，粗调一圈4mm，微调一圈0.4mm及最小4μm的刻度，内置免调节防下滑机构，不采用易损的外部松紧调节环。</w:t>
            </w:r>
          </w:p>
          <w:p w14:paraId="1D2292AA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1.3 明场照明装置</w:t>
            </w:r>
          </w:p>
          <w:p w14:paraId="56B146BE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1.3.1主动光强管理系统，可适用于所有物镜，用于自动调节对应物镜的光强度。</w:t>
            </w:r>
          </w:p>
          <w:p w14:paraId="5E060933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1.3.2内置透射光科勒照明器，高亮度高演色性LED长寿命光源，功率10W，大于60000小时使用寿命，无需额外供电，可兼容DIC观察方式。</w:t>
            </w:r>
          </w:p>
          <w:p w14:paraId="4BC15C3A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1.4 机身具有六位透射光滤片转轮。</w:t>
            </w:r>
          </w:p>
          <w:p w14:paraId="21770570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1.5 载物台：高抗磨损性圆角、无槽金属阳极化处理载物台，载物台手柄松紧度高度可调，玻片样品夹持器。</w:t>
            </w:r>
          </w:p>
          <w:p w14:paraId="1FFF24BD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1.6宽视野三目镜筒，视场数≥23mm，倾角30度。目镜筒360度自由旋转，实现40mm观察高度调节。具有光闸功能，荧光观察时可屏蔽外界光进入目镜造成的干扰。</w:t>
            </w:r>
          </w:p>
          <w:p w14:paraId="15D257ED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1.7  10倍超宽视野目镜，高眼点设计，视场数≥23mm，双目屈光度可调。</w:t>
            </w:r>
          </w:p>
          <w:p w14:paraId="33CA44A6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1.8  6位编码型物镜转换器，不同倍数物镜可分别定义光强，切换时自动匹配亮度。</w:t>
            </w:r>
          </w:p>
          <w:p w14:paraId="788A68A4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1.9  全套高品质物镜：</w:t>
            </w:r>
          </w:p>
          <w:p w14:paraId="18ED820B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高反差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场消色差物镜 10×，数值孔径：NA≥0.25;</w:t>
            </w:r>
          </w:p>
          <w:p w14:paraId="396D3C85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高反差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平场消色差物镜 20×，数值孔径：NA≥0.45;</w:t>
            </w:r>
          </w:p>
          <w:p w14:paraId="36D50108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高性能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荧光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物镜 40×，数值孔径：NA≥0.65；</w:t>
            </w:r>
          </w:p>
          <w:p w14:paraId="6884D92D"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高反差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平场消色差油镜 100×，数值孔径：NA≥1.25。</w:t>
            </w:r>
          </w:p>
          <w:p w14:paraId="14C77C90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1.10 聚光镜：非摆动式聚光镜：NA≥0.9/1.25。在5x物镜观察下，无需摆动操作；带科勒照明调整后锁定装置。</w:t>
            </w:r>
          </w:p>
          <w:p w14:paraId="4164CA91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1.11主机架上下分体，可加垫高模块，增大样品空间，不用化学药品的绿色环保防霉技术。</w:t>
            </w:r>
          </w:p>
          <w:p w14:paraId="391FD115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1.12 样品空间：视标本厚度的不同以及配置不同，样品空间从0~110mm连续可调,满足大样本的观察需要。</w:t>
            </w:r>
          </w:p>
          <w:p w14:paraId="7594C724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1.13集成节能和为了延长照明寿命的Eco-mode，当显微镜在空闲15分钟后会自动进入待机状态。</w:t>
            </w:r>
          </w:p>
          <w:p w14:paraId="750B94A3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  荧光系统：</w:t>
            </w:r>
          </w:p>
          <w:p w14:paraId="77832F33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2.1 荧光光源：130W长寿命金属卤化物灯（3000个小时）</w:t>
            </w:r>
          </w:p>
          <w:p w14:paraId="12B10AA8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2.2 机身集成透射光电动光闸，一键切换荧光及透射光观察方式，切换到荧光时，透射光光闸自动关闭。</w:t>
            </w:r>
          </w:p>
          <w:p w14:paraId="7907E31D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2.3 荧光滤色镜套：红、蓝、绿带通滤色块</w:t>
            </w:r>
          </w:p>
          <w:p w14:paraId="5777CAA0"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2.4  荧光激发块转盘：≥6孔。</w:t>
            </w:r>
          </w:p>
          <w:p w14:paraId="63AF3097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3.科研级彩色数码相机： </w:t>
            </w:r>
          </w:p>
          <w:p w14:paraId="7CDE65FC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3.1芯片尺寸≥1英寸；物理像素≥2000万，5472(H) x 3648(V)；</w:t>
            </w:r>
          </w:p>
          <w:p w14:paraId="3338E05D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 像素大小：2.40μm x 2.40μm</w:t>
            </w:r>
          </w:p>
          <w:p w14:paraId="0AB6E04D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 采集速度：14 fps @ 20MP</w:t>
            </w:r>
          </w:p>
          <w:p w14:paraId="19D0B3DD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3.4 位数：16 bit , 8 bit</w:t>
            </w:r>
          </w:p>
          <w:p w14:paraId="6865597A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曝光时间：18 μs～3000 s @ 20 MP</w:t>
            </w:r>
          </w:p>
          <w:p w14:paraId="6F0C6D0B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4.专业分析软件</w:t>
            </w:r>
          </w:p>
          <w:p w14:paraId="77865ABC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4.1 控制采集:一键采集,图像格式可选择:JPEG/BMP/PNG/TIFF</w:t>
            </w:r>
          </w:p>
          <w:p w14:paraId="214C6888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 测量:静态图像的两点间距、平行线距、角度、弧度、圆半径、任意多边形的面积、周长等多种测量方式.</w:t>
            </w:r>
          </w:p>
          <w:p w14:paraId="7AD8A081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4.3 实时图像拼接：动态的捕捉定量位移后的图像后自动后台无缝拼接，完美展现超大视野全景显微图像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BB3A58F">
            <w:pPr>
              <w:spacing w:line="20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4.4 实时景深融合:对不同焦平面的光学显微镜图像(同一视场)的图像进行融合,可以实现在高倍显微镜下对大落差样品表面的整体观察,解决显微镜景深小的问题。</w:t>
            </w:r>
          </w:p>
          <w:p w14:paraId="6C95FDA3">
            <w:pPr>
              <w:pStyle w:val="16"/>
              <w:spacing w:line="400" w:lineRule="exact"/>
              <w:ind w:left="0" w:right="85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 图像处理：可提供以下图像处理操作：图像调整、图像染色、荧光合成、高级计算成像、二值化、直方图、图像平滑、滤色/提色/反色。可以对图像进行反卷积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1C86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noWrap w:val="0"/>
            <w:vAlign w:val="center"/>
          </w:tcPr>
          <w:p w14:paraId="04009C74">
            <w:pPr>
              <w:pStyle w:val="16"/>
              <w:spacing w:before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配置清单</w:t>
            </w:r>
          </w:p>
        </w:tc>
        <w:tc>
          <w:tcPr>
            <w:tcW w:w="7650" w:type="dxa"/>
            <w:noWrap w:val="0"/>
            <w:vAlign w:val="top"/>
          </w:tcPr>
          <w:p w14:paraId="4285ACC5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研究级显微镜主机</w:t>
            </w:r>
          </w:p>
          <w:p w14:paraId="1C4693C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载物台支架</w:t>
            </w:r>
          </w:p>
          <w:p w14:paraId="07C39CA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聚光镜支架</w:t>
            </w:r>
          </w:p>
          <w:p w14:paraId="58C4BE44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机械载物台</w:t>
            </w:r>
          </w:p>
          <w:p w14:paraId="250D8D2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75x25mm 双玻片样品夹</w:t>
            </w:r>
          </w:p>
          <w:p w14:paraId="04D5421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三目观察筒(100:0/0:100分光)</w:t>
            </w:r>
          </w:p>
          <w:p w14:paraId="68B1D25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中灰滤片组</w:t>
            </w:r>
          </w:p>
          <w:p w14:paraId="44AC946D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目镜（10X，23视场）</w:t>
            </w:r>
          </w:p>
          <w:p w14:paraId="0A54B16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Eyepiece eyecup 目镜罩</w:t>
            </w:r>
          </w:p>
          <w:p w14:paraId="3D384686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聚光镜</w:t>
            </w:r>
          </w:p>
          <w:p w14:paraId="403FE6B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高性能平场荧光物镜 镜10X，NA 0.25</w:t>
            </w:r>
          </w:p>
          <w:p w14:paraId="471C781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高反差平场消色差物镜20X，NA 0.45</w:t>
            </w:r>
          </w:p>
          <w:p w14:paraId="63BC90F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高性能平场荧光物镜 40×，NA 0.65</w:t>
            </w:r>
          </w:p>
          <w:p w14:paraId="5950B46E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高反差平场消色差物镜100X，NA 1.25 oil</w:t>
            </w:r>
          </w:p>
          <w:p w14:paraId="1FF8F10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6位荧光转盘</w:t>
            </w:r>
          </w:p>
          <w:p w14:paraId="0F70C7BA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荧光光源</w:t>
            </w:r>
          </w:p>
          <w:p w14:paraId="5A339FB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荧光滤色镜套支架</w:t>
            </w:r>
          </w:p>
          <w:p w14:paraId="1B8FDAC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 xml:space="preserve">荧光滤色镜套（DAPI）  </w:t>
            </w:r>
          </w:p>
          <w:p w14:paraId="4FF2ED0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 xml:space="preserve">荧光滤色镜套（FITC）  </w:t>
            </w:r>
          </w:p>
          <w:p w14:paraId="60AADCE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荧光滤色镜套（TexasRed）</w:t>
            </w:r>
          </w:p>
          <w:p w14:paraId="215DDBD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1.0x 照相接口</w:t>
            </w:r>
          </w:p>
          <w:p w14:paraId="7521290B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数码相机及分析软件</w:t>
            </w:r>
          </w:p>
          <w:p w14:paraId="5F5326A0">
            <w:pPr>
              <w:pStyle w:val="16"/>
              <w:spacing w:before="0" w:line="400" w:lineRule="exact"/>
              <w:ind w:left="0" w:right="85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spacing w:val="5"/>
                <w:sz w:val="22"/>
                <w:szCs w:val="18"/>
                <w:lang w:eastAsia="zh-CN"/>
              </w:rPr>
              <w:t>配套电脑</w:t>
            </w:r>
          </w:p>
        </w:tc>
      </w:tr>
    </w:tbl>
    <w:p w14:paraId="50116654">
      <w:pPr>
        <w:pStyle w:val="16"/>
        <w:spacing w:before="0"/>
        <w:ind w:left="0" w:right="0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、服务要求</w:t>
      </w:r>
    </w:p>
    <w:p w14:paraId="14DE9692">
      <w:pPr>
        <w:pStyle w:val="16"/>
        <w:spacing w:before="0"/>
        <w:ind w:left="0" w:right="0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货期及安装要求：货期两个月内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负责仪器的拆卸、搬运、安装、调试等所有流程的技术服务。在仪器安装调试结束后，按照上述技术参数及合同要求对所提供仪器验收。</w:t>
      </w:r>
    </w:p>
    <w:p w14:paraId="550EE8D5">
      <w:pPr>
        <w:pStyle w:val="16"/>
        <w:spacing w:before="0"/>
        <w:ind w:left="0" w:right="0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2.仪器保修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年，从安装调试验收合格之日起计算，期间由于仪器故障（正常使用情况下出现）所产生的维修相关费用全免。</w:t>
      </w:r>
    </w:p>
    <w:p w14:paraId="2DA403D2">
      <w:pPr>
        <w:pStyle w:val="16"/>
        <w:spacing w:before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3.培训要求：提供现场免费培训。</w:t>
      </w:r>
    </w:p>
    <w:p w14:paraId="281C903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4.响应要求：仪器发生故障，在24小时内给予回复和专业维修的电话指导，并及时到达现场进行维修。</w:t>
      </w:r>
      <w:bookmarkStart w:id="0" w:name="_GoBack"/>
      <w:bookmarkEnd w:id="0"/>
    </w:p>
    <w:p w14:paraId="0987BDF8">
      <w:pPr>
        <w:pStyle w:val="16"/>
        <w:spacing w:before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F73FE-87A8-47C1-A315-7B97BB1EC3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06F35B-E64D-44AA-A12D-D507515369FD}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Book Antiqua">
    <w:altName w:val="Times New Roman"/>
    <w:panose1 w:val="02040602050305030304"/>
    <w:charset w:val="00"/>
    <w:family w:val="roman"/>
    <w:pitch w:val="default"/>
    <w:sig w:usb0="00000287" w:usb1="00000000" w:usb2="00000000" w:usb3="00000000" w:csb0="0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F8C3C2D-AF90-4620-B2F1-59107F196838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sImhkaWQiOiJhMWM5NGJhNDU3YjNhN2Q3OGIyY2FjYzI5MjFkMzNkZiIsInVzZXJDb3VudCI6Nn0="/>
  </w:docVars>
  <w:rsids>
    <w:rsidRoot w:val="00172A27"/>
    <w:rsid w:val="000F31B5"/>
    <w:rsid w:val="00113C09"/>
    <w:rsid w:val="00114CDD"/>
    <w:rsid w:val="001540F8"/>
    <w:rsid w:val="001A1EE1"/>
    <w:rsid w:val="00225DD6"/>
    <w:rsid w:val="0023162C"/>
    <w:rsid w:val="00231C8F"/>
    <w:rsid w:val="00264AF5"/>
    <w:rsid w:val="00275CF0"/>
    <w:rsid w:val="002C5B17"/>
    <w:rsid w:val="002D38E5"/>
    <w:rsid w:val="002D3C99"/>
    <w:rsid w:val="00306CED"/>
    <w:rsid w:val="00372069"/>
    <w:rsid w:val="003764BE"/>
    <w:rsid w:val="003964D9"/>
    <w:rsid w:val="003A07F6"/>
    <w:rsid w:val="004338C5"/>
    <w:rsid w:val="004F1FE1"/>
    <w:rsid w:val="00587381"/>
    <w:rsid w:val="005D336C"/>
    <w:rsid w:val="006B28B1"/>
    <w:rsid w:val="00756B89"/>
    <w:rsid w:val="007731D7"/>
    <w:rsid w:val="00806758"/>
    <w:rsid w:val="0081563E"/>
    <w:rsid w:val="0084500A"/>
    <w:rsid w:val="00850286"/>
    <w:rsid w:val="00854096"/>
    <w:rsid w:val="008F4AF9"/>
    <w:rsid w:val="008F51C4"/>
    <w:rsid w:val="00945F62"/>
    <w:rsid w:val="00992943"/>
    <w:rsid w:val="009F1D68"/>
    <w:rsid w:val="00A10D44"/>
    <w:rsid w:val="00A87F82"/>
    <w:rsid w:val="00A94B1B"/>
    <w:rsid w:val="00B730F2"/>
    <w:rsid w:val="00C36CD9"/>
    <w:rsid w:val="00C71D61"/>
    <w:rsid w:val="00CA6E43"/>
    <w:rsid w:val="00D0779B"/>
    <w:rsid w:val="00D57CEC"/>
    <w:rsid w:val="00FA0E19"/>
    <w:rsid w:val="00FB6183"/>
    <w:rsid w:val="00FD5B0E"/>
    <w:rsid w:val="015A704D"/>
    <w:rsid w:val="018409B7"/>
    <w:rsid w:val="0187402D"/>
    <w:rsid w:val="01D13030"/>
    <w:rsid w:val="0342432D"/>
    <w:rsid w:val="04EF039B"/>
    <w:rsid w:val="051169A9"/>
    <w:rsid w:val="053308F1"/>
    <w:rsid w:val="059565ED"/>
    <w:rsid w:val="07316028"/>
    <w:rsid w:val="07B354B0"/>
    <w:rsid w:val="087F53D8"/>
    <w:rsid w:val="08DA1A6E"/>
    <w:rsid w:val="09F162E9"/>
    <w:rsid w:val="0BAF6137"/>
    <w:rsid w:val="0C156A8C"/>
    <w:rsid w:val="0C2661F0"/>
    <w:rsid w:val="0C5E67B3"/>
    <w:rsid w:val="0C8C0749"/>
    <w:rsid w:val="0CB56867"/>
    <w:rsid w:val="0CBC52AE"/>
    <w:rsid w:val="0E044B9A"/>
    <w:rsid w:val="0E167C21"/>
    <w:rsid w:val="0E2772E2"/>
    <w:rsid w:val="0E4178BF"/>
    <w:rsid w:val="10687DDF"/>
    <w:rsid w:val="10E36DA6"/>
    <w:rsid w:val="11296A34"/>
    <w:rsid w:val="11CF48C6"/>
    <w:rsid w:val="11E04305"/>
    <w:rsid w:val="11E47469"/>
    <w:rsid w:val="128D0B7C"/>
    <w:rsid w:val="13BB0760"/>
    <w:rsid w:val="13D96891"/>
    <w:rsid w:val="140D3692"/>
    <w:rsid w:val="142E11FF"/>
    <w:rsid w:val="14A26068"/>
    <w:rsid w:val="14C85297"/>
    <w:rsid w:val="164107F7"/>
    <w:rsid w:val="16877182"/>
    <w:rsid w:val="178C5AA1"/>
    <w:rsid w:val="17AF5CBF"/>
    <w:rsid w:val="198804EA"/>
    <w:rsid w:val="19ED1338"/>
    <w:rsid w:val="19FA01DC"/>
    <w:rsid w:val="19FF15CA"/>
    <w:rsid w:val="1AC71DC4"/>
    <w:rsid w:val="1CEE3EA2"/>
    <w:rsid w:val="1D3A21FE"/>
    <w:rsid w:val="1DE77B5C"/>
    <w:rsid w:val="1E953001"/>
    <w:rsid w:val="1FD50B49"/>
    <w:rsid w:val="1FDB470E"/>
    <w:rsid w:val="200263C2"/>
    <w:rsid w:val="20EC4A4D"/>
    <w:rsid w:val="21025026"/>
    <w:rsid w:val="21C21FA3"/>
    <w:rsid w:val="21E3195B"/>
    <w:rsid w:val="23C07A1D"/>
    <w:rsid w:val="24504CB1"/>
    <w:rsid w:val="26426B6D"/>
    <w:rsid w:val="26AA7CF2"/>
    <w:rsid w:val="290D02FD"/>
    <w:rsid w:val="29AF0E04"/>
    <w:rsid w:val="2A122468"/>
    <w:rsid w:val="2AED5E7D"/>
    <w:rsid w:val="2BBE060A"/>
    <w:rsid w:val="2BED1C8B"/>
    <w:rsid w:val="2BFD63B3"/>
    <w:rsid w:val="2D1E7B7F"/>
    <w:rsid w:val="2E4F6312"/>
    <w:rsid w:val="2E924774"/>
    <w:rsid w:val="2ED1017B"/>
    <w:rsid w:val="2F525233"/>
    <w:rsid w:val="2FE43584"/>
    <w:rsid w:val="3073229F"/>
    <w:rsid w:val="30790319"/>
    <w:rsid w:val="31332F9C"/>
    <w:rsid w:val="32367636"/>
    <w:rsid w:val="32771258"/>
    <w:rsid w:val="33A70AE5"/>
    <w:rsid w:val="33F23FC7"/>
    <w:rsid w:val="371840E9"/>
    <w:rsid w:val="377F1C34"/>
    <w:rsid w:val="37A21D75"/>
    <w:rsid w:val="393D31F5"/>
    <w:rsid w:val="395842DB"/>
    <w:rsid w:val="3AD5051B"/>
    <w:rsid w:val="3AE74C19"/>
    <w:rsid w:val="3B1D3D80"/>
    <w:rsid w:val="3D2F340E"/>
    <w:rsid w:val="3DE15BC8"/>
    <w:rsid w:val="3DE360D7"/>
    <w:rsid w:val="3DEF059F"/>
    <w:rsid w:val="3E013018"/>
    <w:rsid w:val="3E7320C8"/>
    <w:rsid w:val="3EFD145A"/>
    <w:rsid w:val="3FE7E54D"/>
    <w:rsid w:val="4096687E"/>
    <w:rsid w:val="419046BE"/>
    <w:rsid w:val="419B1A30"/>
    <w:rsid w:val="43547FC2"/>
    <w:rsid w:val="438349C5"/>
    <w:rsid w:val="442A5561"/>
    <w:rsid w:val="45B81805"/>
    <w:rsid w:val="46DF0E9A"/>
    <w:rsid w:val="47372A84"/>
    <w:rsid w:val="47525985"/>
    <w:rsid w:val="47E328E8"/>
    <w:rsid w:val="488B4811"/>
    <w:rsid w:val="48A5326E"/>
    <w:rsid w:val="48D8049D"/>
    <w:rsid w:val="48DA5C15"/>
    <w:rsid w:val="4B3003AF"/>
    <w:rsid w:val="4B9506C1"/>
    <w:rsid w:val="4BAB6D5B"/>
    <w:rsid w:val="4CD3324F"/>
    <w:rsid w:val="4CF124C7"/>
    <w:rsid w:val="4F18124A"/>
    <w:rsid w:val="4F406CAC"/>
    <w:rsid w:val="4FE6264D"/>
    <w:rsid w:val="5022158D"/>
    <w:rsid w:val="50EC2727"/>
    <w:rsid w:val="515E0CBF"/>
    <w:rsid w:val="51BF4278"/>
    <w:rsid w:val="54581970"/>
    <w:rsid w:val="55A535FB"/>
    <w:rsid w:val="55EF2E09"/>
    <w:rsid w:val="56750307"/>
    <w:rsid w:val="579826A8"/>
    <w:rsid w:val="58B77D8F"/>
    <w:rsid w:val="58E624A6"/>
    <w:rsid w:val="5B531ADB"/>
    <w:rsid w:val="5C1D0043"/>
    <w:rsid w:val="5CC64128"/>
    <w:rsid w:val="5CDDEF45"/>
    <w:rsid w:val="5D7739CD"/>
    <w:rsid w:val="5D8453A4"/>
    <w:rsid w:val="5E10532D"/>
    <w:rsid w:val="5FDF073B"/>
    <w:rsid w:val="5FFD5F56"/>
    <w:rsid w:val="603B5086"/>
    <w:rsid w:val="60AD4FAB"/>
    <w:rsid w:val="61B961DF"/>
    <w:rsid w:val="61CD0301"/>
    <w:rsid w:val="61E7772C"/>
    <w:rsid w:val="629148C2"/>
    <w:rsid w:val="62B247EF"/>
    <w:rsid w:val="64734491"/>
    <w:rsid w:val="64AF6BD4"/>
    <w:rsid w:val="64FE4139"/>
    <w:rsid w:val="67D31B60"/>
    <w:rsid w:val="68046A6D"/>
    <w:rsid w:val="683E1DD2"/>
    <w:rsid w:val="6925119B"/>
    <w:rsid w:val="6A343805"/>
    <w:rsid w:val="6AD93CCF"/>
    <w:rsid w:val="6ADC30DD"/>
    <w:rsid w:val="6AF6662F"/>
    <w:rsid w:val="6BA8732E"/>
    <w:rsid w:val="6BCABAA8"/>
    <w:rsid w:val="6BF76CF4"/>
    <w:rsid w:val="6CC20C65"/>
    <w:rsid w:val="6ECE1D5E"/>
    <w:rsid w:val="6EEC620D"/>
    <w:rsid w:val="6FDB682E"/>
    <w:rsid w:val="719C621B"/>
    <w:rsid w:val="7268216A"/>
    <w:rsid w:val="732A4A96"/>
    <w:rsid w:val="73A128A5"/>
    <w:rsid w:val="73AF1966"/>
    <w:rsid w:val="73E9798B"/>
    <w:rsid w:val="73EC5DA2"/>
    <w:rsid w:val="759B4903"/>
    <w:rsid w:val="75BB0884"/>
    <w:rsid w:val="77785CE2"/>
    <w:rsid w:val="78031871"/>
    <w:rsid w:val="790A7749"/>
    <w:rsid w:val="79B166C0"/>
    <w:rsid w:val="7AAD2AD4"/>
    <w:rsid w:val="7B1E187B"/>
    <w:rsid w:val="7B28499C"/>
    <w:rsid w:val="7B6908AD"/>
    <w:rsid w:val="7C4003F3"/>
    <w:rsid w:val="7CABFFC7"/>
    <w:rsid w:val="7DC70A34"/>
    <w:rsid w:val="7DF969B8"/>
    <w:rsid w:val="7E5E3288"/>
    <w:rsid w:val="7EE57FC8"/>
    <w:rsid w:val="7FC918E0"/>
    <w:rsid w:val="7FCC131D"/>
    <w:rsid w:val="7FD77802"/>
    <w:rsid w:val="7FDE1157"/>
    <w:rsid w:val="7FDF6072"/>
    <w:rsid w:val="7FF89439"/>
    <w:rsid w:val="7FFFCEC0"/>
    <w:rsid w:val="B7FE87F0"/>
    <w:rsid w:val="B99F3528"/>
    <w:rsid w:val="BCFB0DA4"/>
    <w:rsid w:val="C7EF379C"/>
    <w:rsid w:val="D6FFE11A"/>
    <w:rsid w:val="DBF5C38E"/>
    <w:rsid w:val="E3FDB32E"/>
    <w:rsid w:val="E7758949"/>
    <w:rsid w:val="EF39F94D"/>
    <w:rsid w:val="EFFA510F"/>
    <w:rsid w:val="FA3E4E52"/>
    <w:rsid w:val="FB9E0403"/>
    <w:rsid w:val="FDF67DE4"/>
    <w:rsid w:val="FFEE5850"/>
    <w:rsid w:val="FFEFA315"/>
    <w:rsid w:val="FFEFF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/>
      <w:kern w:val="2"/>
      <w:sz w:val="18"/>
      <w:szCs w:val="18"/>
      <w:lang w:eastAsia="zh-CN"/>
    </w:rPr>
  </w:style>
  <w:style w:type="paragraph" w:styleId="5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  <w:lang w:eastAsia="zh-CN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uiPriority w:val="99"/>
    <w:rPr>
      <w:lang w:eastAsia="en-US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  <w:lang w:eastAsia="en-US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批注主题 Char"/>
    <w:link w:val="6"/>
    <w:semiHidden/>
    <w:uiPriority w:val="99"/>
    <w:rPr>
      <w:b/>
      <w:bCs/>
      <w:lang w:eastAsia="en-US"/>
    </w:rPr>
  </w:style>
  <w:style w:type="paragraph" w:customStyle="1" w:styleId="15">
    <w:name w:val="Section Heading"/>
    <w:basedOn w:val="1"/>
    <w:qFormat/>
    <w:uiPriority w:val="0"/>
    <w:rPr>
      <w:rFonts w:ascii="Book Antiqua" w:hAnsi="Book Antiqua"/>
      <w:b/>
      <w:sz w:val="24"/>
    </w:rPr>
  </w:style>
  <w:style w:type="paragraph" w:customStyle="1" w:styleId="16">
    <w:name w:val="narrat style"/>
    <w:basedOn w:val="15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7">
    <w:name w:val="form text"/>
    <w:basedOn w:val="1"/>
    <w:uiPriority w:val="0"/>
    <w:pPr>
      <w:spacing w:before="120"/>
    </w:pPr>
    <w:rPr>
      <w:b/>
      <w:i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Company>Hewlett-Packard Company</Company>
  <Pages>3</Pages>
  <Words>1963</Words>
  <Characters>2351</Characters>
  <Lines>12</Lines>
  <Paragraphs>3</Paragraphs>
  <TotalTime>253</TotalTime>
  <ScaleCrop>false</ScaleCrop>
  <LinksUpToDate>false</LinksUpToDate>
  <CharactersWithSpaces>2440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2022-09-16T16:27:00Z</dcterms:created>
  <dc:creator>梁洁余</dc:creator>
  <cp:lastModifiedBy>梁洁余</cp:lastModifiedBy>
  <dcterms:modified xsi:type="dcterms:W3CDTF">2025-07-21T07:11:04Z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8C7238C0BA4C4B0584C4017EFBDB875A_13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