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635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-566" w:leftChars="-283" w:right="-424" w:rightChars="-212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发挥绿色金融作用支持广州市打造美丽中国城市样板路径研究课题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项目采购需求说明书</w:t>
      </w:r>
    </w:p>
    <w:p w14:paraId="00AC58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566" w:leftChars="-283" w:right="-424" w:rightChars="-212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</w:p>
    <w:bookmarkEnd w:id="0"/>
    <w:p w14:paraId="65B1E116">
      <w:pPr>
        <w:pStyle w:val="16"/>
        <w:spacing w:before="156" w:beforeLines="50" w:after="156" w:afterLines="50" w:line="520" w:lineRule="exact"/>
        <w:ind w:left="0" w:right="85"/>
        <w:jc w:val="both"/>
        <w:rPr>
          <w:sz w:val="32"/>
          <w:szCs w:val="32"/>
          <w:lang w:eastAsia="zh-CN"/>
        </w:rPr>
      </w:pPr>
      <w:r>
        <w:rPr>
          <w:rFonts w:eastAsia="楷体"/>
          <w:sz w:val="32"/>
          <w:szCs w:val="32"/>
          <w:lang w:eastAsia="zh-CN"/>
        </w:rPr>
        <w:t xml:space="preserve">    </w:t>
      </w:r>
      <w:r>
        <w:rPr>
          <w:rFonts w:hint="eastAsia" w:eastAsia="黑体"/>
          <w:bCs/>
          <w:sz w:val="32"/>
          <w:szCs w:val="32"/>
          <w:lang w:eastAsia="zh-CN"/>
        </w:rPr>
        <w:t>一</w:t>
      </w:r>
      <w:r>
        <w:rPr>
          <w:rFonts w:eastAsia="黑体"/>
          <w:bCs/>
          <w:sz w:val="32"/>
          <w:szCs w:val="32"/>
          <w:lang w:eastAsia="zh-CN"/>
        </w:rPr>
        <w:t>、采购需求内容</w:t>
      </w:r>
    </w:p>
    <w:p w14:paraId="7EA76706">
      <w:pPr>
        <w:spacing w:line="520" w:lineRule="exact"/>
        <w:ind w:firstLine="640" w:firstLineChars="200"/>
        <w:jc w:val="both"/>
        <w:rPr>
          <w:rFonts w:eastAsia="楷体"/>
          <w:sz w:val="32"/>
          <w:szCs w:val="32"/>
          <w:lang w:eastAsia="zh-CN"/>
        </w:rPr>
      </w:pPr>
      <w:r>
        <w:rPr>
          <w:rFonts w:eastAsia="楷体"/>
          <w:sz w:val="32"/>
          <w:szCs w:val="32"/>
          <w:lang w:eastAsia="zh-CN"/>
        </w:rPr>
        <w:t>（一）项目背景。</w:t>
      </w:r>
    </w:p>
    <w:p w14:paraId="63C9E19E">
      <w:pPr>
        <w:spacing w:line="520" w:lineRule="exact"/>
        <w:ind w:firstLine="640" w:firstLineChars="200"/>
        <w:jc w:val="both"/>
        <w:rPr>
          <w:rFonts w:hint="eastAsia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围绕美丽广州建设重点任务和资金需求，总结凝练美丽广州建设投融资项目首批实践成果，系统设计绿色金融支持机制和项目库管理机制，引导社会资本和资金流入美丽广州建设项目，为推动美丽广州建设和经济社会发展绿色转型发挥积极作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099EFE58">
      <w:pPr>
        <w:spacing w:line="520" w:lineRule="exact"/>
        <w:ind w:firstLine="640" w:firstLineChars="200"/>
        <w:jc w:val="both"/>
        <w:rPr>
          <w:rFonts w:eastAsia="楷体"/>
          <w:sz w:val="32"/>
          <w:szCs w:val="32"/>
          <w:lang w:eastAsia="zh-CN"/>
        </w:rPr>
      </w:pPr>
      <w:r>
        <w:rPr>
          <w:rFonts w:eastAsia="楷体"/>
          <w:sz w:val="32"/>
          <w:szCs w:val="32"/>
          <w:lang w:eastAsia="zh-CN"/>
        </w:rPr>
        <w:t>（二）项目工作范围。</w:t>
      </w:r>
    </w:p>
    <w:p w14:paraId="4B65375E">
      <w:pPr>
        <w:spacing w:line="520" w:lineRule="exact"/>
        <w:ind w:firstLine="640" w:firstLineChars="200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根据采购人要求，围绕政策集成与创新研究、项目库管理机制优化、项目跟踪评估及风险防范机制探索三个核心方向，开展系统性研究。</w:t>
      </w:r>
    </w:p>
    <w:p w14:paraId="4409EBF1">
      <w:pPr>
        <w:spacing w:line="520" w:lineRule="exact"/>
        <w:ind w:firstLine="640" w:firstLineChars="200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1.协助开展</w:t>
      </w:r>
      <w:r>
        <w:rPr>
          <w:rFonts w:hint="eastAsia" w:eastAsia="仿宋_GB2312"/>
          <w:sz w:val="32"/>
          <w:szCs w:val="32"/>
          <w:lang w:eastAsia="zh-CN"/>
        </w:rPr>
        <w:t>绿色金融服务美丽广州建设政策集成与创新研究。协助开展金融政策集成优化、绿色金融产品创新、联动对接机制建立、金融机构激励和约束机制建设研究。</w:t>
      </w:r>
    </w:p>
    <w:p w14:paraId="21B6F39D">
      <w:pPr>
        <w:spacing w:line="520" w:lineRule="exact"/>
        <w:ind w:firstLine="640" w:firstLineChars="200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2.协助开展</w:t>
      </w:r>
      <w:r>
        <w:rPr>
          <w:rFonts w:hint="eastAsia" w:eastAsia="仿宋_GB2312"/>
          <w:sz w:val="32"/>
          <w:szCs w:val="32"/>
          <w:lang w:eastAsia="zh-CN"/>
        </w:rPr>
        <w:t>绿色金融服务美丽广州建设项目库管理研究。协助开展入库项目认定机制、在库项目管理机制、后期绩效评价机制研究。</w:t>
      </w:r>
    </w:p>
    <w:p w14:paraId="73C1E1EB">
      <w:pPr>
        <w:spacing w:line="520" w:lineRule="exact"/>
        <w:ind w:firstLine="640" w:firstLineChars="200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3.协助开展</w:t>
      </w:r>
      <w:r>
        <w:rPr>
          <w:rFonts w:hint="eastAsia" w:eastAsia="仿宋_GB2312"/>
          <w:sz w:val="32"/>
          <w:szCs w:val="32"/>
          <w:lang w:eastAsia="zh-CN"/>
        </w:rPr>
        <w:t>项目跟踪评估与风险防范机制初步研究。协助研究项目落地风险信息获取渠道与方式、探索项目风险跟踪评估及防范措施研究。</w:t>
      </w:r>
    </w:p>
    <w:p w14:paraId="44F297DC">
      <w:pPr>
        <w:spacing w:line="520" w:lineRule="exact"/>
        <w:ind w:firstLine="640" w:firstLineChars="200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形成《绿色金融助力广州市打造美丽中国城市样板路径研究报告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（草案）</w:t>
      </w:r>
      <w:r>
        <w:rPr>
          <w:rFonts w:hint="eastAsia" w:ascii="仿宋" w:hAnsi="仿宋" w:eastAsia="仿宋" w:cs="仿宋"/>
          <w:sz w:val="32"/>
          <w:szCs w:val="32"/>
        </w:rPr>
        <w:t>》及相关政策建议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（草案）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 w14:paraId="16C928DB">
      <w:pPr>
        <w:spacing w:line="520" w:lineRule="exact"/>
        <w:ind w:firstLine="640" w:firstLineChars="200"/>
        <w:jc w:val="both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5.具有生态环境主管部门委托的政策研究类项目工作经验。</w:t>
      </w:r>
    </w:p>
    <w:p w14:paraId="7202E2B0">
      <w:pPr>
        <w:spacing w:line="520" w:lineRule="exact"/>
        <w:ind w:firstLine="640" w:firstLineChars="200"/>
        <w:jc w:val="both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6.具有金融类标准、指南、规范等编制工作经验。</w:t>
      </w:r>
    </w:p>
    <w:p w14:paraId="28540C8F">
      <w:pPr>
        <w:pStyle w:val="16"/>
        <w:spacing w:before="0" w:line="520" w:lineRule="exact"/>
        <w:ind w:left="0" w:right="0" w:firstLine="640" w:firstLineChars="200"/>
        <w:jc w:val="both"/>
        <w:rPr>
          <w:rFonts w:hint="eastAsia" w:ascii="仿宋" w:hAnsi="仿宋" w:eastAsia="仿宋" w:cs="仿宋"/>
          <w:b w:val="0"/>
          <w:sz w:val="32"/>
          <w:szCs w:val="32"/>
          <w:lang w:val="en-US" w:eastAsia="zh-CN" w:bidi="ar-SA"/>
        </w:rPr>
      </w:pPr>
      <w:r>
        <w:rPr>
          <w:rFonts w:hint="eastAsia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</w:t>
      </w:r>
      <w:r>
        <w:rPr>
          <w:rFonts w:hint="eastAsia" w:ascii="仿宋" w:hAnsi="仿宋" w:eastAsia="仿宋" w:cs="仿宋"/>
          <w:b w:val="0"/>
          <w:sz w:val="32"/>
          <w:szCs w:val="32"/>
          <w:lang w:val="en-US" w:eastAsia="zh-CN" w:bidi="ar-SA"/>
        </w:rPr>
        <w:t>展项目过程中的专家咨询工作。</w:t>
      </w:r>
    </w:p>
    <w:p w14:paraId="3ABB158D">
      <w:pPr>
        <w:pStyle w:val="16"/>
        <w:spacing w:before="0" w:line="520" w:lineRule="exact"/>
        <w:ind w:left="0" w:right="0" w:firstLine="640" w:firstLineChars="200"/>
        <w:jc w:val="both"/>
        <w:rPr>
          <w:rFonts w:hint="default" w:ascii="仿宋" w:hAnsi="仿宋" w:eastAsia="仿宋" w:cs="仿宋"/>
          <w:b w:val="0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b w:val="0"/>
          <w:sz w:val="32"/>
          <w:szCs w:val="32"/>
          <w:lang w:val="en-US" w:eastAsia="zh-CN" w:bidi="ar-SA"/>
        </w:rPr>
        <w:t>负责项目实施过程中必要的其他工作。</w:t>
      </w:r>
    </w:p>
    <w:p w14:paraId="60FAF810">
      <w:pPr>
        <w:spacing w:line="540" w:lineRule="exact"/>
        <w:ind w:firstLine="640" w:firstLineChars="200"/>
        <w:rPr>
          <w:rFonts w:eastAsia="楷体"/>
          <w:sz w:val="32"/>
          <w:szCs w:val="32"/>
          <w:lang w:eastAsia="zh-CN"/>
        </w:rPr>
      </w:pPr>
      <w:r>
        <w:rPr>
          <w:rFonts w:eastAsia="楷体"/>
          <w:sz w:val="32"/>
          <w:szCs w:val="32"/>
          <w:lang w:eastAsia="zh-CN"/>
        </w:rPr>
        <w:t>（三）项目</w:t>
      </w:r>
      <w:r>
        <w:rPr>
          <w:rFonts w:hint="eastAsia" w:eastAsia="楷体"/>
          <w:sz w:val="32"/>
          <w:szCs w:val="32"/>
          <w:lang w:eastAsia="zh-CN"/>
        </w:rPr>
        <w:t>报价</w:t>
      </w:r>
      <w:r>
        <w:rPr>
          <w:rFonts w:eastAsia="楷体"/>
          <w:sz w:val="32"/>
          <w:szCs w:val="32"/>
          <w:lang w:eastAsia="zh-CN"/>
        </w:rPr>
        <w:t>。</w:t>
      </w:r>
    </w:p>
    <w:p w14:paraId="7485F0ED">
      <w:p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项目最高限价为人民币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拾玖万贰仟元整（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192,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000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.00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元），包含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lang w:val="en-US" w:eastAsia="zh-CN" w:bidi="ar-SA"/>
        </w:rPr>
        <w:t>服务总费包括人工费、资料收集</w:t>
      </w:r>
      <w:r>
        <w:rPr>
          <w:rFonts w:hint="eastAsia" w:eastAsia="仿宋_GB2312" w:cs="Times New Roman"/>
          <w:b w:val="0"/>
          <w:sz w:val="32"/>
          <w:szCs w:val="32"/>
          <w:lang w:val="en-US" w:eastAsia="zh-CN" w:bidi="ar-SA"/>
        </w:rPr>
        <w:t>与整理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lang w:val="en-US" w:eastAsia="zh-CN" w:bidi="ar-SA"/>
        </w:rPr>
        <w:t>、专家咨询、报告编制</w:t>
      </w:r>
      <w:r>
        <w:rPr>
          <w:rFonts w:hint="eastAsia" w:eastAsia="仿宋_GB2312"/>
          <w:sz w:val="32"/>
          <w:szCs w:val="32"/>
          <w:lang w:eastAsia="zh-CN"/>
        </w:rPr>
        <w:t>等费用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6E310855">
      <w:pPr>
        <w:spacing w:line="500" w:lineRule="exact"/>
        <w:ind w:firstLine="640" w:firstLineChars="200"/>
        <w:rPr>
          <w:rFonts w:eastAsia="楷体"/>
          <w:sz w:val="32"/>
          <w:szCs w:val="32"/>
          <w:lang w:eastAsia="zh-CN"/>
        </w:rPr>
      </w:pPr>
      <w:r>
        <w:rPr>
          <w:rFonts w:eastAsia="楷体"/>
          <w:sz w:val="32"/>
          <w:szCs w:val="32"/>
          <w:lang w:eastAsia="zh-CN"/>
        </w:rPr>
        <w:t>（四）项目完成时间。</w:t>
      </w:r>
    </w:p>
    <w:p w14:paraId="000A8DF1">
      <w:pPr>
        <w:pStyle w:val="16"/>
        <w:spacing w:before="0" w:line="520" w:lineRule="exact"/>
        <w:ind w:left="0" w:right="0" w:firstLine="640" w:firstLineChars="200"/>
        <w:jc w:val="both"/>
        <w:rPr>
          <w:rFonts w:hint="eastAsia" w:eastAsia="仿宋_GB2312"/>
          <w:kern w:val="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自合同签订之日起</w:t>
      </w:r>
      <w:r>
        <w:rPr>
          <w:rFonts w:hint="eastAsia" w:eastAsia="仿宋_GB2312"/>
          <w:sz w:val="32"/>
          <w:szCs w:val="32"/>
          <w:lang w:eastAsia="zh-CN"/>
        </w:rPr>
        <w:t>实施，周期为6个月，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具体以合同约定为准。</w:t>
      </w:r>
    </w:p>
    <w:p w14:paraId="73F54CEE">
      <w:pPr>
        <w:widowControl w:val="0"/>
        <w:spacing w:line="500" w:lineRule="exact"/>
        <w:ind w:firstLine="640" w:firstLineChars="200"/>
        <w:jc w:val="both"/>
        <w:rPr>
          <w:rFonts w:eastAsia="黑体"/>
          <w:kern w:val="2"/>
          <w:sz w:val="32"/>
          <w:szCs w:val="32"/>
          <w:lang w:eastAsia="zh-CN"/>
        </w:rPr>
      </w:pPr>
      <w:r>
        <w:rPr>
          <w:rFonts w:hint="eastAsia" w:eastAsia="黑体"/>
          <w:kern w:val="2"/>
          <w:sz w:val="32"/>
          <w:szCs w:val="32"/>
          <w:lang w:eastAsia="zh-CN"/>
        </w:rPr>
        <w:t>二</w:t>
      </w:r>
      <w:r>
        <w:rPr>
          <w:rFonts w:eastAsia="黑体"/>
          <w:kern w:val="2"/>
          <w:sz w:val="32"/>
          <w:szCs w:val="32"/>
          <w:lang w:eastAsia="zh-CN"/>
        </w:rPr>
        <w:t>、</w:t>
      </w:r>
      <w:r>
        <w:rPr>
          <w:rFonts w:hint="eastAsia" w:eastAsia="黑体"/>
          <w:kern w:val="2"/>
          <w:sz w:val="32"/>
          <w:szCs w:val="32"/>
          <w:lang w:eastAsia="zh-CN"/>
        </w:rPr>
        <w:t>验收方式</w:t>
      </w:r>
    </w:p>
    <w:p w14:paraId="04D01C71">
      <w:pPr>
        <w:pStyle w:val="16"/>
        <w:spacing w:before="0" w:line="520" w:lineRule="exact"/>
        <w:ind w:left="0" w:right="0" w:firstLine="640" w:firstLineChars="200"/>
        <w:jc w:val="both"/>
        <w:rPr>
          <w:rFonts w:hint="eastAsia" w:eastAsia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该项目的所有成果通过采购方组织的专家验收。</w:t>
      </w:r>
    </w:p>
    <w:p w14:paraId="0A25CC7B">
      <w:pPr>
        <w:widowControl w:val="0"/>
        <w:spacing w:line="50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416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9B1367-496C-433A-A61F-0B4FD968079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DBDAAB8-73CD-4E21-BEEB-1BB2E276A6F4}"/>
  </w:font>
  <w:font w:name="等线">
    <w:altName w:val="汉仪中宋简"/>
    <w:panose1 w:val="02010600030101010101"/>
    <w:charset w:val="00"/>
    <w:family w:val="auto"/>
    <w:pitch w:val="default"/>
    <w:sig w:usb0="A00002BF" w:usb1="38CF7CFA" w:usb2="00000016" w:usb3="00000000" w:csb0="0004000F" w:csb1="00000000"/>
  </w:font>
  <w:font w:name="Book Antiqua">
    <w:altName w:val="Segoe Print"/>
    <w:panose1 w:val="02040602050305030304"/>
    <w:charset w:val="00"/>
    <w:family w:val="roman"/>
    <w:pitch w:val="default"/>
    <w:sig w:usb0="00000287" w:usb1="00000000" w:usb2="00000000" w:usb3="00000000" w:csb0="0000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1CCE31BC-5D0C-4BFE-BA8E-C40BD549F0D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7CA139B-1B4F-408E-9C09-4F115ACEB02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9695716-7C9B-412C-9AC2-4E3FB4B6F54D}"/>
  </w:font>
  <w:font w:name="汉仪中宋简">
    <w:panose1 w:val="02010600000101010101"/>
    <w:charset w:val="80"/>
    <w:family w:val="auto"/>
    <w:pitch w:val="default"/>
    <w:sig w:usb0="800002BF" w:usb1="184F6CF8" w:usb2="00000012" w:usb3="00000000" w:csb0="0002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A2C8AF"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/>
      </w:rPr>
      <w:t>6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/>
      </w:rPr>
      <w:t>6</w:t>
    </w:r>
    <w:r>
      <w:rPr>
        <w:b/>
        <w:bCs/>
        <w:sz w:val="24"/>
        <w:szCs w:val="24"/>
      </w:rPr>
      <w:fldChar w:fldCharType="end"/>
    </w:r>
  </w:p>
  <w:p w14:paraId="006AD66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TrueTypeFonts/>
  <w:saveSubsetFonts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409B7"/>
    <w:rsid w:val="000126E9"/>
    <w:rsid w:val="000230BF"/>
    <w:rsid w:val="0004545C"/>
    <w:rsid w:val="00047B69"/>
    <w:rsid w:val="000512FF"/>
    <w:rsid w:val="00055A5E"/>
    <w:rsid w:val="00072C85"/>
    <w:rsid w:val="00074053"/>
    <w:rsid w:val="00082178"/>
    <w:rsid w:val="000A7754"/>
    <w:rsid w:val="000B56C3"/>
    <w:rsid w:val="000C1C7C"/>
    <w:rsid w:val="000C363E"/>
    <w:rsid w:val="000D5111"/>
    <w:rsid w:val="000D7151"/>
    <w:rsid w:val="00103A57"/>
    <w:rsid w:val="00103C0B"/>
    <w:rsid w:val="00107A69"/>
    <w:rsid w:val="00113C09"/>
    <w:rsid w:val="0012280C"/>
    <w:rsid w:val="001247FD"/>
    <w:rsid w:val="001C3905"/>
    <w:rsid w:val="001C6D16"/>
    <w:rsid w:val="001E01FC"/>
    <w:rsid w:val="00211520"/>
    <w:rsid w:val="00225DD6"/>
    <w:rsid w:val="002318BC"/>
    <w:rsid w:val="00240708"/>
    <w:rsid w:val="00267BFF"/>
    <w:rsid w:val="00273A3E"/>
    <w:rsid w:val="0027488A"/>
    <w:rsid w:val="002767D4"/>
    <w:rsid w:val="00286B3C"/>
    <w:rsid w:val="00293CF7"/>
    <w:rsid w:val="002B3245"/>
    <w:rsid w:val="002B5ED5"/>
    <w:rsid w:val="002B6F23"/>
    <w:rsid w:val="002D3025"/>
    <w:rsid w:val="002F08D0"/>
    <w:rsid w:val="00323080"/>
    <w:rsid w:val="00324488"/>
    <w:rsid w:val="00325839"/>
    <w:rsid w:val="00340CAE"/>
    <w:rsid w:val="00341ED5"/>
    <w:rsid w:val="0034234B"/>
    <w:rsid w:val="003448C7"/>
    <w:rsid w:val="00363BF1"/>
    <w:rsid w:val="003650BD"/>
    <w:rsid w:val="00374012"/>
    <w:rsid w:val="00376BF8"/>
    <w:rsid w:val="00385ECA"/>
    <w:rsid w:val="00387532"/>
    <w:rsid w:val="0038797A"/>
    <w:rsid w:val="00390012"/>
    <w:rsid w:val="003953CB"/>
    <w:rsid w:val="003A07F6"/>
    <w:rsid w:val="003B5446"/>
    <w:rsid w:val="003B5898"/>
    <w:rsid w:val="003C3892"/>
    <w:rsid w:val="003C7BD7"/>
    <w:rsid w:val="003E2EAB"/>
    <w:rsid w:val="003F3814"/>
    <w:rsid w:val="003F3FF4"/>
    <w:rsid w:val="00412F50"/>
    <w:rsid w:val="00427F1C"/>
    <w:rsid w:val="004350C6"/>
    <w:rsid w:val="004445FF"/>
    <w:rsid w:val="00461CE2"/>
    <w:rsid w:val="00464338"/>
    <w:rsid w:val="00476FF1"/>
    <w:rsid w:val="00477BF9"/>
    <w:rsid w:val="00482493"/>
    <w:rsid w:val="00492AE7"/>
    <w:rsid w:val="004B7DC8"/>
    <w:rsid w:val="004C5B3B"/>
    <w:rsid w:val="00570211"/>
    <w:rsid w:val="00586C1B"/>
    <w:rsid w:val="005A67CB"/>
    <w:rsid w:val="005B037E"/>
    <w:rsid w:val="005D2B6C"/>
    <w:rsid w:val="005D6753"/>
    <w:rsid w:val="005F6672"/>
    <w:rsid w:val="00603B7F"/>
    <w:rsid w:val="00603EC7"/>
    <w:rsid w:val="00615BD3"/>
    <w:rsid w:val="00615D08"/>
    <w:rsid w:val="00624F0C"/>
    <w:rsid w:val="00644CE9"/>
    <w:rsid w:val="0066157C"/>
    <w:rsid w:val="0066769B"/>
    <w:rsid w:val="00686DDB"/>
    <w:rsid w:val="006A6CF8"/>
    <w:rsid w:val="006B6BCB"/>
    <w:rsid w:val="006E5DC4"/>
    <w:rsid w:val="00700FDA"/>
    <w:rsid w:val="007061C6"/>
    <w:rsid w:val="00721844"/>
    <w:rsid w:val="00746CE5"/>
    <w:rsid w:val="00753B39"/>
    <w:rsid w:val="00770E5C"/>
    <w:rsid w:val="007745FE"/>
    <w:rsid w:val="00777FF1"/>
    <w:rsid w:val="007860B9"/>
    <w:rsid w:val="0079319F"/>
    <w:rsid w:val="0079392E"/>
    <w:rsid w:val="007A165D"/>
    <w:rsid w:val="007B5941"/>
    <w:rsid w:val="007C007C"/>
    <w:rsid w:val="007C692D"/>
    <w:rsid w:val="007D571B"/>
    <w:rsid w:val="007F4149"/>
    <w:rsid w:val="007F7AEF"/>
    <w:rsid w:val="0080243D"/>
    <w:rsid w:val="00803EAF"/>
    <w:rsid w:val="008258A3"/>
    <w:rsid w:val="008317D8"/>
    <w:rsid w:val="008321CB"/>
    <w:rsid w:val="008535EA"/>
    <w:rsid w:val="00854096"/>
    <w:rsid w:val="00876C71"/>
    <w:rsid w:val="008913E2"/>
    <w:rsid w:val="008B360C"/>
    <w:rsid w:val="008D5C86"/>
    <w:rsid w:val="008E4172"/>
    <w:rsid w:val="008E5250"/>
    <w:rsid w:val="00901349"/>
    <w:rsid w:val="00917324"/>
    <w:rsid w:val="00963B79"/>
    <w:rsid w:val="00974E61"/>
    <w:rsid w:val="009832D4"/>
    <w:rsid w:val="00985A8A"/>
    <w:rsid w:val="00994CDA"/>
    <w:rsid w:val="009A57A4"/>
    <w:rsid w:val="009B7DF4"/>
    <w:rsid w:val="009D498D"/>
    <w:rsid w:val="009F720D"/>
    <w:rsid w:val="00A20D68"/>
    <w:rsid w:val="00A27C68"/>
    <w:rsid w:val="00A40DAC"/>
    <w:rsid w:val="00A61DF8"/>
    <w:rsid w:val="00A77D95"/>
    <w:rsid w:val="00A87431"/>
    <w:rsid w:val="00A916A5"/>
    <w:rsid w:val="00AC1A7D"/>
    <w:rsid w:val="00AD396B"/>
    <w:rsid w:val="00AE38B6"/>
    <w:rsid w:val="00AE46C2"/>
    <w:rsid w:val="00B043CC"/>
    <w:rsid w:val="00B21AE7"/>
    <w:rsid w:val="00B25F56"/>
    <w:rsid w:val="00B47F83"/>
    <w:rsid w:val="00B53833"/>
    <w:rsid w:val="00B53E26"/>
    <w:rsid w:val="00B67B27"/>
    <w:rsid w:val="00B730F2"/>
    <w:rsid w:val="00B73649"/>
    <w:rsid w:val="00B80CD1"/>
    <w:rsid w:val="00B87765"/>
    <w:rsid w:val="00BA5F1E"/>
    <w:rsid w:val="00C0377F"/>
    <w:rsid w:val="00C0486E"/>
    <w:rsid w:val="00C26BA1"/>
    <w:rsid w:val="00C571FC"/>
    <w:rsid w:val="00C61359"/>
    <w:rsid w:val="00CA63DB"/>
    <w:rsid w:val="00CA6E43"/>
    <w:rsid w:val="00CB09F1"/>
    <w:rsid w:val="00CB2FF5"/>
    <w:rsid w:val="00CB6435"/>
    <w:rsid w:val="00CE5160"/>
    <w:rsid w:val="00CE558B"/>
    <w:rsid w:val="00D2379D"/>
    <w:rsid w:val="00D25392"/>
    <w:rsid w:val="00D30CEE"/>
    <w:rsid w:val="00D40D47"/>
    <w:rsid w:val="00D41CCD"/>
    <w:rsid w:val="00D42E5D"/>
    <w:rsid w:val="00D55B32"/>
    <w:rsid w:val="00D614DD"/>
    <w:rsid w:val="00D73476"/>
    <w:rsid w:val="00D76293"/>
    <w:rsid w:val="00D76FC6"/>
    <w:rsid w:val="00DC1475"/>
    <w:rsid w:val="00DC7786"/>
    <w:rsid w:val="00DD04BB"/>
    <w:rsid w:val="00DE1AE3"/>
    <w:rsid w:val="00DE34AD"/>
    <w:rsid w:val="00DF2F94"/>
    <w:rsid w:val="00E57421"/>
    <w:rsid w:val="00E60C4C"/>
    <w:rsid w:val="00E97A03"/>
    <w:rsid w:val="00EB0589"/>
    <w:rsid w:val="00EC1AF3"/>
    <w:rsid w:val="00F03A7B"/>
    <w:rsid w:val="00F37F67"/>
    <w:rsid w:val="00F6207E"/>
    <w:rsid w:val="00F6226B"/>
    <w:rsid w:val="00F64C23"/>
    <w:rsid w:val="00F8206F"/>
    <w:rsid w:val="00F83BE3"/>
    <w:rsid w:val="00F93EA8"/>
    <w:rsid w:val="00FA22FA"/>
    <w:rsid w:val="00FB6076"/>
    <w:rsid w:val="00FC34E9"/>
    <w:rsid w:val="00FF0826"/>
    <w:rsid w:val="00FF28E3"/>
    <w:rsid w:val="015A704D"/>
    <w:rsid w:val="018409B7"/>
    <w:rsid w:val="01D13030"/>
    <w:rsid w:val="02710546"/>
    <w:rsid w:val="04EF039B"/>
    <w:rsid w:val="051169A9"/>
    <w:rsid w:val="07316028"/>
    <w:rsid w:val="0C156A8C"/>
    <w:rsid w:val="0D562B05"/>
    <w:rsid w:val="0E044B9A"/>
    <w:rsid w:val="10CF3F9D"/>
    <w:rsid w:val="11CF48C6"/>
    <w:rsid w:val="12220D33"/>
    <w:rsid w:val="142E11FF"/>
    <w:rsid w:val="14C85297"/>
    <w:rsid w:val="14FD869C"/>
    <w:rsid w:val="16A44DCB"/>
    <w:rsid w:val="19ED1338"/>
    <w:rsid w:val="19FF15CA"/>
    <w:rsid w:val="1AC71DC4"/>
    <w:rsid w:val="1CEE3EA2"/>
    <w:rsid w:val="1E953001"/>
    <w:rsid w:val="1FDB470E"/>
    <w:rsid w:val="20EC4A4D"/>
    <w:rsid w:val="24504CB1"/>
    <w:rsid w:val="2452246C"/>
    <w:rsid w:val="26426B6D"/>
    <w:rsid w:val="271E6063"/>
    <w:rsid w:val="290D02FD"/>
    <w:rsid w:val="2AED5E7D"/>
    <w:rsid w:val="2BED1C8B"/>
    <w:rsid w:val="2BFD63B3"/>
    <w:rsid w:val="2E4F6312"/>
    <w:rsid w:val="2E7C6418"/>
    <w:rsid w:val="2FE43584"/>
    <w:rsid w:val="3073229F"/>
    <w:rsid w:val="31332F9C"/>
    <w:rsid w:val="353F8D59"/>
    <w:rsid w:val="35FBC1D1"/>
    <w:rsid w:val="367E0853"/>
    <w:rsid w:val="371840E9"/>
    <w:rsid w:val="37A21D75"/>
    <w:rsid w:val="395842DB"/>
    <w:rsid w:val="3B1D3D80"/>
    <w:rsid w:val="3CF65903"/>
    <w:rsid w:val="3DE360D7"/>
    <w:rsid w:val="3E013018"/>
    <w:rsid w:val="3E095DB7"/>
    <w:rsid w:val="3E7320C8"/>
    <w:rsid w:val="4096687E"/>
    <w:rsid w:val="419B1A30"/>
    <w:rsid w:val="44520E7F"/>
    <w:rsid w:val="45570BED"/>
    <w:rsid w:val="48671F19"/>
    <w:rsid w:val="4AF33166"/>
    <w:rsid w:val="4BEF04CF"/>
    <w:rsid w:val="4D5018A7"/>
    <w:rsid w:val="4DF5F160"/>
    <w:rsid w:val="4FBB1101"/>
    <w:rsid w:val="5022158D"/>
    <w:rsid w:val="50EC2727"/>
    <w:rsid w:val="515E0CBF"/>
    <w:rsid w:val="54581970"/>
    <w:rsid w:val="56750307"/>
    <w:rsid w:val="579826A8"/>
    <w:rsid w:val="57FB0A37"/>
    <w:rsid w:val="58B77D8F"/>
    <w:rsid w:val="5BAE0740"/>
    <w:rsid w:val="5D7F6123"/>
    <w:rsid w:val="603B5086"/>
    <w:rsid w:val="61E7772C"/>
    <w:rsid w:val="629148C2"/>
    <w:rsid w:val="644D1D23"/>
    <w:rsid w:val="64DD1A09"/>
    <w:rsid w:val="67F87518"/>
    <w:rsid w:val="6A343805"/>
    <w:rsid w:val="6AB62A3E"/>
    <w:rsid w:val="6B7E487F"/>
    <w:rsid w:val="6BDEC7F0"/>
    <w:rsid w:val="6D374F82"/>
    <w:rsid w:val="6F8E457E"/>
    <w:rsid w:val="6FDB682E"/>
    <w:rsid w:val="71E76899"/>
    <w:rsid w:val="732A4A96"/>
    <w:rsid w:val="73A128A5"/>
    <w:rsid w:val="73FFE65E"/>
    <w:rsid w:val="747E5433"/>
    <w:rsid w:val="7692B60B"/>
    <w:rsid w:val="7B1E187B"/>
    <w:rsid w:val="7BED49D7"/>
    <w:rsid w:val="7BF555DE"/>
    <w:rsid w:val="7C4003F3"/>
    <w:rsid w:val="7F5A19C8"/>
    <w:rsid w:val="7F7CA50A"/>
    <w:rsid w:val="7FC918E0"/>
    <w:rsid w:val="7FD14DAD"/>
    <w:rsid w:val="7FF914F8"/>
    <w:rsid w:val="9EF95F35"/>
    <w:rsid w:val="AD655E50"/>
    <w:rsid w:val="B6EED4A7"/>
    <w:rsid w:val="BA7B23C6"/>
    <w:rsid w:val="BDABAFAA"/>
    <w:rsid w:val="BDDC8958"/>
    <w:rsid w:val="BDFFB648"/>
    <w:rsid w:val="BFEFB3FE"/>
    <w:rsid w:val="C35B6124"/>
    <w:rsid w:val="C876C4A3"/>
    <w:rsid w:val="CEFEF546"/>
    <w:rsid w:val="D6FB71B9"/>
    <w:rsid w:val="EBF28636"/>
    <w:rsid w:val="EDE3D790"/>
    <w:rsid w:val="EE5F4834"/>
    <w:rsid w:val="EE6B6674"/>
    <w:rsid w:val="F1B9FF25"/>
    <w:rsid w:val="F1CF1E30"/>
    <w:rsid w:val="F5FCFFC2"/>
    <w:rsid w:val="F6EF932A"/>
    <w:rsid w:val="F6FDC73B"/>
    <w:rsid w:val="F7FF9EC9"/>
    <w:rsid w:val="F9F5D63C"/>
    <w:rsid w:val="FCCBA511"/>
    <w:rsid w:val="FF5F650A"/>
    <w:rsid w:val="FFF551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lang w:val="en-US" w:eastAsia="en-US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uiPriority w:val="99"/>
  </w:style>
  <w:style w:type="paragraph" w:styleId="3">
    <w:name w:val="Balloon Text"/>
    <w:basedOn w:val="1"/>
    <w:link w:val="12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等线" w:hAnsi="等线" w:eastAsia="等线" w:cs="Times New Roman"/>
      <w:kern w:val="2"/>
      <w:sz w:val="18"/>
      <w:szCs w:val="18"/>
      <w:lang w:eastAsia="zh-CN"/>
    </w:rPr>
  </w:style>
  <w:style w:type="paragraph" w:styleId="5">
    <w:name w:val="header"/>
    <w:basedOn w:val="1"/>
    <w:link w:val="13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kern w:val="2"/>
      <w:sz w:val="18"/>
      <w:szCs w:val="18"/>
      <w:lang w:eastAsia="zh-CN"/>
    </w:rPr>
  </w:style>
  <w:style w:type="paragraph" w:styleId="6">
    <w:name w:val="annotation subject"/>
    <w:basedOn w:val="2"/>
    <w:next w:val="2"/>
    <w:link w:val="14"/>
    <w:unhideWhenUsed/>
    <w:uiPriority w:val="99"/>
    <w:rPr>
      <w:b/>
      <w:bCs/>
    </w:rPr>
  </w:style>
  <w:style w:type="character" w:styleId="9">
    <w:name w:val="annotation reference"/>
    <w:unhideWhenUsed/>
    <w:uiPriority w:val="99"/>
    <w:rPr>
      <w:sz w:val="21"/>
      <w:szCs w:val="21"/>
    </w:rPr>
  </w:style>
  <w:style w:type="character" w:customStyle="1" w:styleId="10">
    <w:name w:val="页脚 Char"/>
    <w:link w:val="4"/>
    <w:qFormat/>
    <w:uiPriority w:val="99"/>
    <w:rPr>
      <w:sz w:val="18"/>
      <w:szCs w:val="18"/>
    </w:rPr>
  </w:style>
  <w:style w:type="character" w:customStyle="1" w:styleId="11">
    <w:name w:val="批注文字 Char"/>
    <w:link w:val="2"/>
    <w:semiHidden/>
    <w:uiPriority w:val="99"/>
    <w:rPr>
      <w:lang w:eastAsia="en-US"/>
    </w:rPr>
  </w:style>
  <w:style w:type="character" w:customStyle="1" w:styleId="12">
    <w:name w:val="批注框文本 Char"/>
    <w:link w:val="3"/>
    <w:semiHidden/>
    <w:uiPriority w:val="99"/>
    <w:rPr>
      <w:sz w:val="18"/>
      <w:szCs w:val="18"/>
      <w:lang w:eastAsia="en-US"/>
    </w:rPr>
  </w:style>
  <w:style w:type="character" w:customStyle="1" w:styleId="13">
    <w:name w:val="页眉 Char"/>
    <w:link w:val="5"/>
    <w:qFormat/>
    <w:uiPriority w:val="99"/>
    <w:rPr>
      <w:sz w:val="18"/>
      <w:szCs w:val="18"/>
    </w:rPr>
  </w:style>
  <w:style w:type="character" w:customStyle="1" w:styleId="14">
    <w:name w:val="批注主题 Char"/>
    <w:link w:val="6"/>
    <w:semiHidden/>
    <w:uiPriority w:val="99"/>
    <w:rPr>
      <w:b/>
      <w:bCs/>
      <w:lang w:eastAsia="en-US"/>
    </w:rPr>
  </w:style>
  <w:style w:type="paragraph" w:customStyle="1" w:styleId="15">
    <w:name w:val="form text"/>
    <w:basedOn w:val="1"/>
    <w:uiPriority w:val="0"/>
    <w:pPr>
      <w:spacing w:before="120"/>
    </w:pPr>
    <w:rPr>
      <w:b/>
      <w:i/>
      <w:sz w:val="22"/>
    </w:rPr>
  </w:style>
  <w:style w:type="paragraph" w:customStyle="1" w:styleId="16">
    <w:name w:val="narrat style"/>
    <w:basedOn w:val="17"/>
    <w:qFormat/>
    <w:uiPriority w:val="0"/>
    <w:pPr>
      <w:spacing w:before="120"/>
      <w:ind w:left="720" w:right="86"/>
    </w:pPr>
    <w:rPr>
      <w:rFonts w:ascii="Times New Roman" w:hAnsi="Times New Roman"/>
      <w:b w:val="0"/>
      <w:sz w:val="20"/>
    </w:rPr>
  </w:style>
  <w:style w:type="paragraph" w:customStyle="1" w:styleId="17">
    <w:name w:val="Section Heading"/>
    <w:basedOn w:val="1"/>
    <w:uiPriority w:val="0"/>
    <w:rPr>
      <w:rFonts w:ascii="Book Antiqua" w:hAnsi="Book Antiqua"/>
      <w:b/>
      <w:sz w:val="24"/>
    </w:rPr>
  </w:style>
  <w:style w:type="paragraph" w:styleId="18">
    <w:name w:val=""/>
    <w:unhideWhenUsed/>
    <w:uiPriority w:val="99"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1fa98400-5323-42e4-aa33-910bc56489e2\&#39033;&#30446;&#38656;&#27714;&#24314;&#35758;&#20070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项目需求建议书.docx</Template>
  <Company>Microsoft</Company>
  <Pages>2</Pages>
  <Words>1186</Words>
  <Characters>1221</Characters>
  <Lines>23</Lines>
  <Paragraphs>6</Paragraphs>
  <TotalTime>1</TotalTime>
  <ScaleCrop>false</ScaleCrop>
  <LinksUpToDate>false</LinksUpToDate>
  <CharactersWithSpaces>1226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2023-07-30T09:32:00Z</dcterms:created>
  <dc:creator>梁洁余</dc:creator>
  <cp:lastModifiedBy>梁洁余</cp:lastModifiedBy>
  <cp:lastPrinted>2022-09-30T06:33:00Z</cp:lastPrinted>
  <dcterms:modified xsi:type="dcterms:W3CDTF">2025-06-25T02:20:03Z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UUID">
    <vt:lpwstr>v1.0_mb_QueX9IosyImQoaTivc+9AQ==</vt:lpwstr>
  </property>
  <property fmtid="{D5CDD505-2E9C-101B-9397-08002B2CF9AE}" pid="4" name="ICV">
    <vt:lpwstr>61D6A2DEA17B4940B1DA5BB597904622_13</vt:lpwstr>
  </property>
  <property fmtid="{D5CDD505-2E9C-101B-9397-08002B2CF9AE}" pid="5" name="KSOTemplateDocerSaveRecord">
    <vt:lpwstr>eyJoZGlkIjoiNDU2MTYyZDc2NTRlNzYxYWEwZGJjNGUyYzVjOTMwNGYiLCJ1c2VySWQiOiIzODY5MDY4NjMifQ==</vt:lpwstr>
  </property>
</Properties>
</file>