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99DB">
      <w:pPr>
        <w:pStyle w:val="3"/>
        <w:spacing w:line="560" w:lineRule="exact"/>
        <w:ind w:left="0" w:leftChars="0" w:firstLine="0" w:firstLineChars="0"/>
        <w:rPr>
          <w:rFonts w:hint="default" w:ascii="Times New Roman" w:hAnsi="Times New Roman" w:cs="Times New Roman"/>
          <w:color w:val="auto"/>
          <w:sz w:val="32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44"/>
          <w:lang w:val="en-US" w:eastAsia="zh-CN"/>
        </w:rPr>
        <w:t>附</w:t>
      </w:r>
      <w:r>
        <w:rPr>
          <w:rFonts w:hint="default" w:ascii="Times New Roman" w:hAnsi="Times New Roman" w:cs="Times New Roman"/>
          <w:color w:val="auto"/>
          <w:sz w:val="32"/>
          <w:szCs w:val="44"/>
          <w:lang w:eastAsia="zh-CN"/>
        </w:rPr>
        <w:t>件</w:t>
      </w:r>
      <w:r>
        <w:rPr>
          <w:rFonts w:hint="default" w:ascii="Times New Roman" w:hAnsi="Times New Roman" w:cs="Times New Roman"/>
          <w:color w:val="auto"/>
          <w:sz w:val="32"/>
          <w:szCs w:val="44"/>
          <w:lang w:val="en-US" w:eastAsia="zh-CN"/>
        </w:rPr>
        <w:t>1</w:t>
      </w:r>
    </w:p>
    <w:p w14:paraId="7072C3A5">
      <w:pPr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2A87F0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试点行业项目环境准入指引</w:t>
      </w:r>
    </w:p>
    <w:bookmarkEnd w:id="0"/>
    <w:p w14:paraId="4ABA7A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44"/>
          <w:lang w:val="en-US" w:eastAsia="zh-CN"/>
        </w:rPr>
      </w:pPr>
    </w:p>
    <w:tbl>
      <w:tblPr>
        <w:tblStyle w:val="5"/>
        <w:tblW w:w="140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691"/>
        <w:gridCol w:w="2175"/>
        <w:gridCol w:w="9460"/>
      </w:tblGrid>
      <w:tr w14:paraId="2997D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Header/>
        </w:trPr>
        <w:tc>
          <w:tcPr>
            <w:tcW w:w="6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A6CF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</w:rPr>
              <w:t>序号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373A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eastAsia="zh-CN"/>
              </w:rPr>
              <w:t>行业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</w:rPr>
              <w:t>类别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2903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</w:rPr>
              <w:t>取消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eastAsia="zh-CN"/>
              </w:rPr>
              <w:t>编制环境影响报告表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</w:rPr>
              <w:t>的项目类别</w:t>
            </w:r>
          </w:p>
        </w:tc>
        <w:tc>
          <w:tcPr>
            <w:tcW w:w="94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B38A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eastAsia="zh-CN"/>
              </w:rPr>
              <w:t>环境准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val="en-US" w:eastAsia="zh-CN"/>
              </w:rPr>
              <w:t>入条件</w:t>
            </w:r>
          </w:p>
        </w:tc>
      </w:tr>
      <w:tr w14:paraId="7F1B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9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47EF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94E29">
            <w:pPr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木质家具制造211*；竹、藤家具制造212*；金属家具制造213*；塑料家具制造214*；其他家具制造219*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33F60">
            <w:pPr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取消年用非溶剂型低VOCs含量涂料10吨及以上的</w:t>
            </w:r>
          </w:p>
        </w:tc>
        <w:tc>
          <w:tcPr>
            <w:tcW w:w="9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BC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1.不在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法律法规规定禁止建设区域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内且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符合生态环境分区管控及规划环评要求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选址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时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可以通过“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广东省生态环境分区管控信息平台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”（https://www-app.gdeei.cn/l3a1/public/home-page/stat）进行查询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。</w:t>
            </w:r>
          </w:p>
          <w:p w14:paraId="63419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2.项目建设符合相关产业政策、法定规划。</w:t>
            </w:r>
          </w:p>
          <w:p w14:paraId="5D251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3.项目建设无需设置危险品仓储（项目配套的危险废物临时存放场所除外）、1吨/小时以上的天然气锅炉（不含本数）、工业废水处理设施（不含出水间接排放地表水体且不排放重金属的）。</w:t>
            </w:r>
          </w:p>
          <w:p w14:paraId="2A27D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4.项目不涉及《有毒有害大气污染物名录》《重点管控新污染物清单（2023年版）》中所列污染物排放。</w:t>
            </w:r>
          </w:p>
          <w:p w14:paraId="14C14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5.生产使用的涂料产品满足《低挥发性有机化合物含量涂料产品技术要求》（GB/T38597-2020）。</w:t>
            </w:r>
          </w:p>
          <w:p w14:paraId="2F0A7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6.项目应采取先进高效的挥发性有机物收集、治理措施，禁止使用光催化、光氧化、水喷淋（吸收可溶性VOCs除外）、低温等离子等低效VOCs治理设施（恶臭处理除外），挥发性有机物排放满足《家具制造行业挥发性有机化合物排放标准》（DB44/814-2010）和《固定污染源挥发性有机物综合排放标准》（DB44 2367-2022）；开料、切割、打磨等过程产生的粉尘应采取有效的收集、除尘治理措施，颗粒物外排满足《大气污染物排放限值》（DB44/27-2001）；项目应采取有效的消声降噪措施，噪声排放满足《工业企业厂界环境噪声排放标准》（GB12348-2008）。</w:t>
            </w:r>
          </w:p>
        </w:tc>
      </w:tr>
      <w:tr w14:paraId="220AB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4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7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37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纸制品制造223*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1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取消所有报告表（本行业无报告书）</w:t>
            </w:r>
          </w:p>
        </w:tc>
        <w:tc>
          <w:tcPr>
            <w:tcW w:w="9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9A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1.不在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法律法规规定禁止建设区域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内且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符合生态环境分区管控及规划环评要求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选址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时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可以通过“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广东省生态环境分区管控信息平台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”（https://www-app.gdeei.cn/l3a1/public/home-page/stat）进行查询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。</w:t>
            </w:r>
          </w:p>
          <w:p w14:paraId="52478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2.项目建设符合相关产业政策、法定规划。</w:t>
            </w:r>
          </w:p>
          <w:p w14:paraId="5622D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3.项目建设无需设置危险品仓储（项目配套的危险废物临时存放场所除外）、1吨/小时以上的天然气锅炉（不含本数）、工业废水处理设施（不含出水间接排放地表水体且不排放重金属的）。</w:t>
            </w:r>
          </w:p>
          <w:p w14:paraId="68854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生产使用的油墨、胶粘剂满足《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油墨中可挥发性有机化合物（VOCs）含量的限值》（GB 38507-2020）、《胶粘剂挥发性有机化合物限量》（GB 33372-2020）。</w:t>
            </w:r>
          </w:p>
          <w:p w14:paraId="59B7C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5.项目应采取先进高效的挥发性有机物收集、治理措施，禁止使用光催化、光氧化、水喷淋（吸收可溶性VOCs除外）、低温等离子等低效VOCs治理设施（恶臭处理除外），其中印刷工艺的挥发性有机物排放满足《印刷行业挥发性有机化合物排放标准》（DB 44/815-2010）和《印刷工业大气污染物排放标准》（GB 41616-2022）的较严者；其他工艺的挥发性有机物排放满足《固定污染源挥发性有机物综合排放标准》（DB44 2367-2022）；项目应采取有效的消声降噪措施，噪声排放满足《工业企业厂界环境噪声排放标准》（GB12348-2008）。</w:t>
            </w:r>
          </w:p>
        </w:tc>
      </w:tr>
      <w:tr w14:paraId="7498E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C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1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砖瓦、石材等建筑材料制造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303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B4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除利用（掺用）污水污泥掺烧制砖的之外，均取消</w:t>
            </w:r>
          </w:p>
        </w:tc>
        <w:tc>
          <w:tcPr>
            <w:tcW w:w="9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91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1.不在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法律法规规定禁止建设区域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内且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符合生态环境分区管控及规划环评要求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选址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时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可以通过“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广东省生态环境分区管控信息平台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”（https://www-app.gdeei.cn/l3a1/public/home-page/stat）进行查询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。</w:t>
            </w:r>
          </w:p>
          <w:p w14:paraId="69E56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2.项目建设符合相关产业政策、法定规划。</w:t>
            </w:r>
          </w:p>
          <w:p w14:paraId="5E20A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3.项目建设无需设置危险品仓储（项目配套的危险废物临时存放场所除外）、1吨/小时以上的天然气锅炉（不含本数）、工业废水处理设施（不含出水间接排放地表水体且不排放重金属的）。</w:t>
            </w:r>
          </w:p>
          <w:p w14:paraId="4C434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4.切割、打磨等过程产生的粉尘应采取有效的收集、除尘治理措施，外排废气满足《大气污染物排放限值》（DB44/27-2001）；项目应采取有效的消声降噪措施，噪声排放满足《工业企业厂界环境噪声排放标准》（GB12348-2008）。</w:t>
            </w:r>
          </w:p>
        </w:tc>
      </w:tr>
    </w:tbl>
    <w:p w14:paraId="700B2A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B0B8F"/>
    <w:rsid w:val="279B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suppressAutoHyphens/>
      <w:ind w:left="210"/>
    </w:pPr>
    <w:rPr>
      <w:rFonts w:ascii="Times New Roman" w:hAnsi="Times New Roman" w:eastAsia="宋体" w:cs="Times New Roman"/>
      <w:smallCaps/>
      <w:sz w:val="21"/>
      <w:lang w:val="en-US" w:eastAsia="zh-CN" w:bidi="ar-SA"/>
    </w:rPr>
  </w:style>
  <w:style w:type="paragraph" w:styleId="3">
    <w:name w:val="caption"/>
    <w:basedOn w:val="1"/>
    <w:next w:val="1"/>
    <w:unhideWhenUsed/>
    <w:qFormat/>
    <w:uiPriority w:val="0"/>
    <w:pPr>
      <w:adjustRightInd w:val="0"/>
      <w:snapToGrid/>
      <w:spacing w:line="570" w:lineRule="exact"/>
      <w:ind w:firstLine="640" w:firstLineChars="200"/>
      <w:jc w:val="left"/>
    </w:pPr>
    <w:rPr>
      <w:rFonts w:ascii="Arial" w:hAnsi="Arial" w:eastAsia="黑体" w:cs="Times New Roman"/>
      <w:sz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2025-03-04T01:52:00Z</dcterms:created>
  <dc:creator>Miss Mayට</dc:creator>
  <cp:lastModifiedBy>Miss Mayට</cp:lastModifiedBy>
  <dcterms:modified xsi:type="dcterms:W3CDTF">2025-03-04T01:53:00Z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FDE7F857612D41FE94F8E87036CBB8E9_11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