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6E2D">
      <w:pPr>
        <w:pStyle w:val="4"/>
        <w:spacing w:before="0"/>
        <w:ind w:left="0" w:right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6F3FE81">
      <w:pPr>
        <w:pStyle w:val="4"/>
        <w:spacing w:before="0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采购需求表</w:t>
      </w:r>
    </w:p>
    <w:bookmarkEnd w:id="0"/>
    <w:tbl>
      <w:tblPr>
        <w:tblStyle w:val="2"/>
        <w:tblW w:w="15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13"/>
        <w:gridCol w:w="1783"/>
        <w:gridCol w:w="2117"/>
        <w:gridCol w:w="1883"/>
        <w:gridCol w:w="3759"/>
        <w:gridCol w:w="2514"/>
      </w:tblGrid>
      <w:tr w14:paraId="28DA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EE19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序号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E86A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物品名称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7B28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数量（单位）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ABAB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品牌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6867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型号、货号</w:t>
            </w:r>
          </w:p>
          <w:p w14:paraId="0A3CD7D4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（试剂规格）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6ABE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技术参数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8FA6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备注</w:t>
            </w:r>
          </w:p>
        </w:tc>
      </w:tr>
      <w:tr w14:paraId="6905D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3E8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7D3E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Merck PMT 过滤杯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4B72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1盒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01C8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Millipore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7CFF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MIHAWG100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BFD3">
            <w:pPr>
              <w:widowControl w:val="0"/>
              <w:jc w:val="center"/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  <w:t>150个/盒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5BD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0FF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8024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56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无尘棉签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E4AC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包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0BDE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A467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AF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  <w:t>6-7毫米宽，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  <w:t>圆头</w:t>
            </w:r>
          </w:p>
          <w:p w14:paraId="30E3351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  <w:t>100支/包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91CB">
            <w:pPr>
              <w:jc w:val="center"/>
              <w:rPr>
                <w:rFonts w:hint="eastAsia" w:ascii="宋体" w:hAnsi="宋体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61F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524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059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塑料封口袋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1CF0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545A">
            <w:pP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7AF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约50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cm*30cm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292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2"/>
                <w:lang w:val="en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90CC">
            <w:pPr>
              <w:jc w:val="center"/>
              <w:rPr>
                <w:rFonts w:hint="eastAsia" w:ascii="宋体" w:hAnsi="宋体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13D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14D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595A"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Calibri"/>
                <w:kern w:val="2"/>
                <w:sz w:val="24"/>
                <w:szCs w:val="24"/>
                <w:lang w:eastAsia="zh-CN"/>
              </w:rPr>
              <w:t>IPAK Meta® 初纯化柱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4332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008D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Merck Millipore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46BF"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Calibri"/>
                <w:kern w:val="2"/>
                <w:sz w:val="24"/>
                <w:szCs w:val="24"/>
                <w:lang w:eastAsia="zh-CN"/>
              </w:rPr>
              <w:t>IPAKMETA1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FBAC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适用于Milli-Q IQ7000</w:t>
            </w:r>
          </w:p>
        </w:tc>
        <w:tc>
          <w:tcPr>
            <w:tcW w:w="2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355C73">
            <w:pPr>
              <w:jc w:val="both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由默克密理博授权供应商派遣具有资质的工程师上门安装，并附相关证明材料。</w:t>
            </w:r>
          </w:p>
        </w:tc>
      </w:tr>
      <w:tr w14:paraId="5640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DF0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D9D3">
            <w:pPr>
              <w:widowControl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/>
                <w:kern w:val="2"/>
                <w:sz w:val="24"/>
                <w:szCs w:val="24"/>
                <w:lang w:eastAsia="zh-CN"/>
              </w:rPr>
              <w:t>IPAK Quanta® 精纯化柱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3A3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892D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Merck Millipore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9006">
            <w:pPr>
              <w:widowControl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Calibri"/>
                <w:kern w:val="2"/>
                <w:sz w:val="24"/>
                <w:szCs w:val="24"/>
                <w:lang w:eastAsia="zh-CN"/>
              </w:rPr>
              <w:t>IPAKQUAA1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A99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适用于Milli-Q IQ7000</w:t>
            </w:r>
          </w:p>
        </w:tc>
        <w:tc>
          <w:tcPr>
            <w:tcW w:w="2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642E3229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</w:p>
        </w:tc>
      </w:tr>
      <w:tr w14:paraId="1183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442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778D">
            <w:pPr>
              <w:widowControl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Calibri"/>
                <w:kern w:val="2"/>
                <w:sz w:val="24"/>
                <w:szCs w:val="24"/>
                <w:lang w:eastAsia="zh-CN"/>
              </w:rPr>
              <w:t>终端过滤器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8333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D162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Merck Millipore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334C">
            <w:pPr>
              <w:widowControl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Calibri"/>
                <w:kern w:val="2"/>
                <w:sz w:val="24"/>
                <w:szCs w:val="24"/>
                <w:lang w:eastAsia="zh-CN"/>
              </w:rPr>
              <w:t>MPGP002A1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9190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lang w:eastAsia="zh-CN"/>
              </w:rPr>
              <w:t>适用于Milli-Q IQ7000</w:t>
            </w:r>
          </w:p>
        </w:tc>
        <w:tc>
          <w:tcPr>
            <w:tcW w:w="25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5AB12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</w:p>
        </w:tc>
      </w:tr>
      <w:tr w14:paraId="2CEA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E41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901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气动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空气减压阀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A35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638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德力西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7C6F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D76B">
            <w:pPr>
              <w:widowControl w:val="0"/>
              <w:jc w:val="center"/>
              <w:rPr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AR2000+2个PC6-02配6mm接头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562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442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56F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C18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 xml:space="preserve">6 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mm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气路管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884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米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383E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德力西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1310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DC1E">
            <w:pPr>
              <w:widowControl w:val="0"/>
              <w:jc w:val="center"/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  <w:t>PU 6mm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997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61B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850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8EED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100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mL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玻璃烧杯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11A1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D836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蜀牛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3A4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987D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20个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79F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3B8D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97E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A3A4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广口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试剂瓶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2FE3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2盒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721C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  <w:t>蜀牛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1D83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CB3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125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mL，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12个/盒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8BE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D5B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F47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6592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手提篮子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84BA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D723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8366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A9C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约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32*17*15cm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1D0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2CEE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CAF3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BEC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女士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薄款长袖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实验服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1CD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2件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DBED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C8E2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M码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FE1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袖口纽扣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款、松紧款各一件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235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A3DC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9F0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F96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海水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专用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透明度盘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37F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F958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B271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070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盘体:纯白，亚克力，直径30cm，厚度为5mm，配重5kg，附皮尺、绳索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FA3D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0E145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C5F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9B6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纯化柱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909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9A7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Millipore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7D13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SYPK0SIA1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5C70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适用于Millipore Synergy</w:t>
            </w:r>
          </w:p>
        </w:tc>
        <w:tc>
          <w:tcPr>
            <w:tcW w:w="25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66CB">
            <w:pPr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由默克密理博授权供应商派遣具有资质的工程师上门安装，并附相关证明材料。</w:t>
            </w:r>
          </w:p>
        </w:tc>
      </w:tr>
      <w:tr w14:paraId="20E7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85C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082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终端过滤器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D7F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D2B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Millipore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00A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MPGP04001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A898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适用于Millipore Synergy</w:t>
            </w: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16E3">
            <w:pPr>
              <w:rPr>
                <w:kern w:val="2"/>
                <w:sz w:val="21"/>
                <w:szCs w:val="22"/>
                <w:lang w:eastAsia="zh-CN"/>
              </w:rPr>
            </w:pPr>
          </w:p>
        </w:tc>
      </w:tr>
      <w:tr w14:paraId="747D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998E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DD84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棕色广口玻璃瓶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8EA5">
            <w:pPr>
              <w:jc w:val="center"/>
              <w:rPr>
                <w:rFonts w:hint="eastAsia"/>
                <w:kern w:val="2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F597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eastAsia="zh-CN"/>
              </w:rPr>
              <w:t>蜀牛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03D0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1A9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500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mL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，8个/盒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D509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150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967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BE1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移液器保护滤芯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98E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10个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00C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吉尔森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57D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85A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0D94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8DB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979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DEE9">
            <w:pPr>
              <w:jc w:val="center"/>
              <w:textAlignment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亚克力水牌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0AF3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10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F59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BAFE">
            <w:pPr>
              <w:jc w:val="center"/>
              <w:textAlignment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861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90*60</w:t>
            </w: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A8C6">
            <w:pPr>
              <w:jc w:val="center"/>
              <w:textAlignment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4B2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B8E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06F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锥形瓶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61F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2盒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C07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蜀牛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4E3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A69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250mL，喇叭口，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1盒10个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00FA">
            <w:pPr>
              <w:jc w:val="center"/>
              <w:rPr>
                <w:kern w:val="2"/>
                <w:sz w:val="21"/>
                <w:szCs w:val="22"/>
                <w:lang w:eastAsia="zh-CN"/>
              </w:rPr>
            </w:pPr>
          </w:p>
        </w:tc>
      </w:tr>
    </w:tbl>
    <w:p w14:paraId="3C361F80"/>
    <w:p w14:paraId="29A95056"/>
    <w:sectPr>
      <w:pgSz w:w="16838" w:h="11906" w:orient="landscape"/>
      <w:pgMar w:top="1531" w:right="2098" w:bottom="1531" w:left="1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Times New Roman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A5YWMyZTdhN2U4M2I5ZTU3NDdkNWFhYTEwN2YifQ=="/>
  </w:docVars>
  <w:rsids>
    <w:rsidRoot w:val="62C62603"/>
    <w:rsid w:val="62C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arrat style"/>
    <w:basedOn w:val="5"/>
    <w:autoRedefine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5">
    <w:name w:val="Section Heading"/>
    <w:basedOn w:val="1"/>
    <w:autoRedefine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2024-11-07T09:22:00Z</dcterms:created>
  <dc:creator>Miss Mayට</dc:creator>
  <cp:lastModifiedBy>Miss Mayට</cp:lastModifiedBy>
  <dcterms:modified xsi:type="dcterms:W3CDTF">2024-11-07T09:22:56Z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A718AC128FD94899B28092309E4141E2_11</vt:lpwstr>
  </property>
</Properties>
</file>