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265D7">
      <w:pPr>
        <w:pStyle w:val="20"/>
        <w:keepNext w:val="0"/>
        <w:keepLines w:val="0"/>
        <w:pageBreakBefore w:val="0"/>
        <w:widowControl/>
        <w:kinsoku/>
        <w:wordWrap/>
        <w:overflowPunct/>
        <w:topLinePunct w:val="0"/>
        <w:autoSpaceDE/>
        <w:autoSpaceDN/>
        <w:bidi w:val="0"/>
        <w:adjustRightInd/>
        <w:snapToGrid/>
        <w:spacing w:line="760" w:lineRule="exact"/>
        <w:jc w:val="center"/>
        <w:textAlignment w:val="auto"/>
        <w:rPr>
          <w:rFonts w:ascii="黑体" w:eastAsia="黑体"/>
          <w:color w:val="000000"/>
          <w:sz w:val="44"/>
          <w:szCs w:val="44"/>
        </w:rPr>
      </w:pPr>
      <w:r>
        <w:rPr>
          <w:rFonts w:hint="eastAsia" w:ascii="方正小标宋简体" w:hAnsi="方正小标宋简体" w:eastAsia="方正小标宋简体" w:cs="方正小标宋简体"/>
          <w:b w:val="0"/>
          <w:bCs/>
          <w:color w:val="000000"/>
          <w:sz w:val="44"/>
          <w:szCs w:val="44"/>
        </w:rPr>
        <w:t>《广州市近岸海域海洋垃圾调查评估项目》</w:t>
      </w:r>
    </w:p>
    <w:p w14:paraId="5DA493B8">
      <w:pPr>
        <w:pStyle w:val="20"/>
        <w:keepNext w:val="0"/>
        <w:keepLines w:val="0"/>
        <w:pageBreakBefore w:val="0"/>
        <w:widowControl/>
        <w:kinsoku/>
        <w:wordWrap/>
        <w:overflowPunct/>
        <w:topLinePunct w:val="0"/>
        <w:autoSpaceDE/>
        <w:autoSpaceDN/>
        <w:bidi w:val="0"/>
        <w:adjustRightInd/>
        <w:snapToGrid/>
        <w:spacing w:line="760" w:lineRule="exact"/>
        <w:jc w:val="center"/>
        <w:textAlignment w:val="auto"/>
        <w:rPr>
          <w:rFonts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项目采购需求说明书</w:t>
      </w:r>
    </w:p>
    <w:p w14:paraId="436CBF50">
      <w:pPr>
        <w:pStyle w:val="20"/>
        <w:widowControl/>
        <w:spacing w:line="560" w:lineRule="exact"/>
        <w:rPr>
          <w:rFonts w:ascii="Verdana" w:hAnsi="Verdana"/>
          <w:color w:val="000000"/>
          <w:sz w:val="22"/>
        </w:rPr>
      </w:pPr>
    </w:p>
    <w:p w14:paraId="0C4982E1">
      <w:pPr>
        <w:pStyle w:val="19"/>
        <w:widowControl/>
        <w:spacing w:before="0"/>
        <w:ind w:left="0" w:right="0" w:firstLine="643" w:firstLineChars="200"/>
        <w:rPr>
          <w:rFonts w:hint="eastAsia" w:ascii="仿宋_GB2312" w:hAnsi="仿宋_GB2312" w:eastAsia="仿宋_GB2312" w:cs="仿宋_GB2312"/>
          <w:b/>
          <w:bCs/>
          <w:color w:val="000000"/>
          <w:sz w:val="32"/>
          <w:szCs w:val="36"/>
        </w:rPr>
      </w:pPr>
      <w:r>
        <w:rPr>
          <w:rFonts w:hint="eastAsia" w:ascii="仿宋_GB2312" w:hAnsi="仿宋_GB2312" w:eastAsia="仿宋_GB2312" w:cs="仿宋_GB2312"/>
          <w:b/>
          <w:bCs/>
          <w:color w:val="000000"/>
          <w:sz w:val="32"/>
          <w:szCs w:val="36"/>
        </w:rPr>
        <w:t>1.服务目标</w:t>
      </w:r>
    </w:p>
    <w:p w14:paraId="5557BFED">
      <w:pPr>
        <w:pStyle w:val="19"/>
        <w:widowControl/>
        <w:spacing w:before="0"/>
        <w:ind w:left="0" w:righ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通过监测掌握广州市近岸海域海洋垃圾分布情况，为科学评价海湾环境质量状况及主要污染来源、海湾生物生态状况及人为活动影响等提供基础数据，为实施“一湾一策”的海湾生态环境综合治理和长效监管、因地制宜推进美丽海湾建设等提供决策依据。</w:t>
      </w:r>
    </w:p>
    <w:p w14:paraId="68D59EF0">
      <w:pPr>
        <w:pStyle w:val="19"/>
        <w:widowControl/>
        <w:spacing w:before="0"/>
        <w:ind w:left="0" w:right="0" w:firstLine="643" w:firstLineChars="200"/>
        <w:rPr>
          <w:rFonts w:hint="eastAsia" w:ascii="仿宋_GB2312" w:hAnsi="仿宋_GB2312" w:eastAsia="仿宋_GB2312" w:cs="仿宋_GB2312"/>
          <w:b/>
          <w:bCs/>
          <w:color w:val="000000"/>
          <w:sz w:val="32"/>
          <w:szCs w:val="36"/>
        </w:rPr>
      </w:pPr>
      <w:r>
        <w:rPr>
          <w:rFonts w:hint="eastAsia" w:ascii="仿宋_GB2312" w:hAnsi="仿宋_GB2312" w:eastAsia="仿宋_GB2312" w:cs="仿宋_GB2312"/>
          <w:b/>
          <w:bCs/>
          <w:color w:val="000000"/>
          <w:sz w:val="32"/>
          <w:szCs w:val="36"/>
        </w:rPr>
        <w:t>2.服务内容</w:t>
      </w:r>
    </w:p>
    <w:p w14:paraId="660EDB95">
      <w:pPr>
        <w:pStyle w:val="19"/>
        <w:keepNext w:val="0"/>
        <w:keepLines w:val="0"/>
        <w:pageBreakBefore w:val="0"/>
        <w:widowControl/>
        <w:kinsoku/>
        <w:wordWrap/>
        <w:overflowPunct/>
        <w:topLinePunct w:val="0"/>
        <w:autoSpaceDE/>
        <w:autoSpaceDN/>
        <w:bidi w:val="0"/>
        <w:adjustRightInd/>
        <w:snapToGrid/>
        <w:ind w:left="0" w:right="0" w:firstLine="640" w:firstLineChars="200"/>
        <w:textAlignment w:val="auto"/>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2.1调查岸段</w:t>
      </w:r>
    </w:p>
    <w:p w14:paraId="0970C404">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在广州市南沙区海鸥岛，南沙天后宫，十九涌、蕉门水道等区域附近布设若干调查岸段（具体数量以实地调查为准），开展海滩垃圾盖度监测，岸段总长度约为30km。</w:t>
      </w:r>
    </w:p>
    <w:p w14:paraId="309A1DE7">
      <w:pPr>
        <w:pStyle w:val="19"/>
        <w:keepNext/>
        <w:widowControl/>
        <w:ind w:left="0" w:right="85"/>
        <w:jc w:val="center"/>
      </w:pPr>
      <w:r>
        <w:drawing>
          <wp:inline distT="0" distB="0" distL="0" distR="0">
            <wp:extent cx="4961255" cy="554037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4971119" cy="5551510"/>
                    </a:xfrm>
                    <a:prstGeom prst="rect">
                      <a:avLst/>
                    </a:prstGeom>
                  </pic:spPr>
                </pic:pic>
              </a:graphicData>
            </a:graphic>
          </wp:inline>
        </w:drawing>
      </w:r>
    </w:p>
    <w:p w14:paraId="467A1613">
      <w:pPr>
        <w:pStyle w:val="2"/>
        <w:keepNext/>
        <w:jc w:val="center"/>
        <w:rPr>
          <w:rFonts w:hint="eastAsia" w:ascii="仿宋_GB2312" w:hAnsi="仿宋_GB2312" w:eastAsia="仿宋_GB2312" w:cs="仿宋_GB2312"/>
          <w:sz w:val="32"/>
          <w:szCs w:val="21"/>
        </w:rPr>
      </w:pPr>
      <w:r>
        <w:rPr>
          <w:rFonts w:hint="eastAsia" w:ascii="仿宋_GB2312" w:hAnsi="仿宋_GB2312" w:eastAsia="仿宋_GB2312" w:cs="仿宋_GB2312"/>
          <w:sz w:val="32"/>
          <w:szCs w:val="21"/>
        </w:rPr>
        <w:t xml:space="preserve">图 </w:t>
      </w:r>
      <w:r>
        <w:rPr>
          <w:rFonts w:hint="eastAsia" w:ascii="仿宋_GB2312" w:hAnsi="仿宋_GB2312" w:eastAsia="仿宋_GB2312" w:cs="仿宋_GB2312"/>
          <w:sz w:val="32"/>
          <w:szCs w:val="21"/>
        </w:rPr>
        <w:fldChar w:fldCharType="begin"/>
      </w:r>
      <w:r>
        <w:rPr>
          <w:rFonts w:hint="eastAsia" w:ascii="仿宋_GB2312" w:hAnsi="仿宋_GB2312" w:eastAsia="仿宋_GB2312" w:cs="仿宋_GB2312"/>
          <w:sz w:val="32"/>
          <w:szCs w:val="21"/>
        </w:rPr>
        <w:instrText xml:space="preserve"> SEQ 图 \* ARABIC </w:instrText>
      </w:r>
      <w:r>
        <w:rPr>
          <w:rFonts w:hint="eastAsia" w:ascii="仿宋_GB2312" w:hAnsi="仿宋_GB2312" w:eastAsia="仿宋_GB2312" w:cs="仿宋_GB2312"/>
          <w:sz w:val="32"/>
          <w:szCs w:val="21"/>
        </w:rPr>
        <w:fldChar w:fldCharType="separate"/>
      </w:r>
      <w:r>
        <w:rPr>
          <w:rFonts w:hint="eastAsia" w:ascii="仿宋_GB2312" w:hAnsi="仿宋_GB2312" w:eastAsia="仿宋_GB2312" w:cs="仿宋_GB2312"/>
          <w:sz w:val="32"/>
          <w:szCs w:val="21"/>
        </w:rPr>
        <w:t>1</w:t>
      </w:r>
      <w:r>
        <w:rPr>
          <w:rFonts w:hint="eastAsia" w:ascii="仿宋_GB2312" w:hAnsi="仿宋_GB2312" w:eastAsia="仿宋_GB2312" w:cs="仿宋_GB2312"/>
          <w:sz w:val="32"/>
          <w:szCs w:val="21"/>
        </w:rPr>
        <w:fldChar w:fldCharType="end"/>
      </w:r>
      <w:r>
        <w:rPr>
          <w:rFonts w:hint="eastAsia" w:ascii="仿宋_GB2312" w:hAnsi="仿宋_GB2312" w:eastAsia="仿宋_GB2312" w:cs="仿宋_GB2312"/>
          <w:sz w:val="32"/>
          <w:szCs w:val="21"/>
        </w:rPr>
        <w:t xml:space="preserve"> 调查岸段所在位置示意图</w:t>
      </w:r>
    </w:p>
    <w:p w14:paraId="0AB6A036">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2.2调查指标</w:t>
      </w:r>
    </w:p>
    <w:p w14:paraId="66C2DCE4">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海洋垃圾分布位置、类型、占用岸线长度、覆盖面积、盖度、垃圾带（垃圾聚集成带的长度在1米以上）长度。</w:t>
      </w:r>
    </w:p>
    <w:p w14:paraId="491AA38F">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2.3调查要求</w:t>
      </w:r>
    </w:p>
    <w:p w14:paraId="1A5644BC">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2.3.1航拍范围</w:t>
      </w:r>
    </w:p>
    <w:p w14:paraId="5CBA35DB">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平均大潮高潮线向岸一侧至天然、人工屏障处，入海河流上溯至最后一道桥或居民点位置，淤泥质岸线退潮裸露大片滩涂的区域扩展至向海一侧200米，其他区域向海一侧50米。</w:t>
      </w:r>
    </w:p>
    <w:p w14:paraId="5A716375">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2.3.2航摄规划</w:t>
      </w:r>
    </w:p>
    <w:p w14:paraId="445489AC">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设定航高（确保分辨率优于0.01m）、航向重叠度、曝光度、起飞降落点等。参照《低空数字航摄与数据处理规范》（GB/T 39612-2020）中5.3要求。</w:t>
      </w:r>
    </w:p>
    <w:p w14:paraId="0A98049F">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2.3.3正射影像生产</w:t>
      </w:r>
    </w:p>
    <w:p w14:paraId="681830C6">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基于航拍照片、位置与姿态以及相机检校等数据，利用无人机数据处理软件，完成影像数据处理及拼接工作，生成无人机数字正射影像。正射影像空间分辨率优于0.01米，影像色彩色调均匀，反差适中，相邻图幅间的影像色调一致，无云影、烟、大面积反光、污点等缺陷，接边重叠带无模糊、重影、错位、扭曲、变形、脏点、漏洞等现象。</w:t>
      </w:r>
    </w:p>
    <w:p w14:paraId="17F30286">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2.3.4无人机影像解译</w:t>
      </w:r>
    </w:p>
    <w:p w14:paraId="048A7ACB">
      <w:pPr>
        <w:ind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海洋垃圾按材料类型可分为塑料类、聚苯乙烯泡沫塑料类、玻璃类、金属类、橡胶类、织物（布）类、木制品类、纸类和其他人造物品及无法辨识的材料。按尺寸可分为特大块垃圾、大块垃圾、中块垃圾和小块垃圾，尺寸规格见</w:t>
      </w:r>
      <w:r>
        <w:rPr>
          <w:rFonts w:hint="eastAsia" w:ascii="仿宋_GB2312" w:hAnsi="仿宋_GB2312" w:eastAsia="仿宋_GB2312" w:cs="仿宋_GB2312"/>
          <w:color w:val="000000"/>
          <w:sz w:val="32"/>
          <w:szCs w:val="36"/>
        </w:rPr>
        <w:fldChar w:fldCharType="begin"/>
      </w:r>
      <w:r>
        <w:rPr>
          <w:rFonts w:hint="eastAsia" w:ascii="仿宋_GB2312" w:hAnsi="仿宋_GB2312" w:eastAsia="仿宋_GB2312" w:cs="仿宋_GB2312"/>
          <w:color w:val="000000"/>
          <w:sz w:val="32"/>
          <w:szCs w:val="36"/>
        </w:rPr>
        <w:instrText xml:space="preserve"> REF _Ref179789601 \h  \* MERGEFORMAT </w:instrText>
      </w:r>
      <w:r>
        <w:rPr>
          <w:rFonts w:hint="eastAsia" w:ascii="仿宋_GB2312" w:hAnsi="仿宋_GB2312" w:eastAsia="仿宋_GB2312" w:cs="仿宋_GB2312"/>
          <w:color w:val="000000"/>
          <w:sz w:val="32"/>
          <w:szCs w:val="36"/>
        </w:rPr>
        <w:fldChar w:fldCharType="separate"/>
      </w:r>
      <w:r>
        <w:rPr>
          <w:rFonts w:hint="eastAsia" w:ascii="仿宋_GB2312" w:hAnsi="仿宋_GB2312" w:eastAsia="仿宋_GB2312" w:cs="仿宋_GB2312"/>
          <w:color w:val="000000"/>
          <w:sz w:val="32"/>
          <w:szCs w:val="36"/>
        </w:rPr>
        <w:t>表 1</w:t>
      </w:r>
      <w:r>
        <w:rPr>
          <w:rFonts w:hint="eastAsia" w:ascii="仿宋_GB2312" w:hAnsi="仿宋_GB2312" w:eastAsia="仿宋_GB2312" w:cs="仿宋_GB2312"/>
          <w:color w:val="000000"/>
          <w:sz w:val="32"/>
          <w:szCs w:val="36"/>
        </w:rPr>
        <w:fldChar w:fldCharType="end"/>
      </w:r>
      <w:r>
        <w:rPr>
          <w:rFonts w:hint="eastAsia" w:ascii="仿宋_GB2312" w:hAnsi="仿宋_GB2312" w:eastAsia="仿宋_GB2312" w:cs="仿宋_GB2312"/>
          <w:color w:val="000000"/>
          <w:sz w:val="32"/>
          <w:szCs w:val="36"/>
        </w:rPr>
        <w:t>。</w:t>
      </w:r>
    </w:p>
    <w:p w14:paraId="282CADCC">
      <w:pPr>
        <w:pStyle w:val="2"/>
        <w:keepNext/>
        <w:jc w:val="center"/>
        <w:rPr>
          <w:rFonts w:hint="eastAsia" w:ascii="仿宋_GB2312" w:hAnsi="仿宋_GB2312" w:eastAsia="仿宋_GB2312" w:cs="仿宋_GB2312"/>
          <w:sz w:val="32"/>
          <w:szCs w:val="21"/>
        </w:rPr>
      </w:pPr>
      <w:bookmarkStart w:id="0" w:name="_Ref179789601"/>
      <w:r>
        <w:rPr>
          <w:rFonts w:hint="eastAsia" w:ascii="仿宋_GB2312" w:hAnsi="仿宋_GB2312" w:eastAsia="仿宋_GB2312" w:cs="仿宋_GB2312"/>
          <w:sz w:val="32"/>
          <w:szCs w:val="21"/>
        </w:rPr>
        <w:t xml:space="preserve">表 </w:t>
      </w:r>
      <w:r>
        <w:rPr>
          <w:rFonts w:hint="eastAsia" w:ascii="仿宋_GB2312" w:hAnsi="仿宋_GB2312" w:eastAsia="仿宋_GB2312" w:cs="仿宋_GB2312"/>
          <w:sz w:val="32"/>
          <w:szCs w:val="21"/>
        </w:rPr>
        <w:fldChar w:fldCharType="begin"/>
      </w:r>
      <w:r>
        <w:rPr>
          <w:rFonts w:hint="eastAsia" w:ascii="仿宋_GB2312" w:hAnsi="仿宋_GB2312" w:eastAsia="仿宋_GB2312" w:cs="仿宋_GB2312"/>
          <w:sz w:val="32"/>
          <w:szCs w:val="21"/>
        </w:rPr>
        <w:instrText xml:space="preserve"> SEQ 表 \* ARABIC </w:instrText>
      </w:r>
      <w:r>
        <w:rPr>
          <w:rFonts w:hint="eastAsia" w:ascii="仿宋_GB2312" w:hAnsi="仿宋_GB2312" w:eastAsia="仿宋_GB2312" w:cs="仿宋_GB2312"/>
          <w:sz w:val="32"/>
          <w:szCs w:val="21"/>
        </w:rPr>
        <w:fldChar w:fldCharType="separate"/>
      </w:r>
      <w:r>
        <w:rPr>
          <w:rFonts w:hint="eastAsia" w:ascii="仿宋_GB2312" w:hAnsi="仿宋_GB2312" w:eastAsia="仿宋_GB2312" w:cs="仿宋_GB2312"/>
          <w:sz w:val="32"/>
          <w:szCs w:val="21"/>
        </w:rPr>
        <w:t>1</w:t>
      </w:r>
      <w:r>
        <w:rPr>
          <w:rFonts w:hint="eastAsia" w:ascii="仿宋_GB2312" w:hAnsi="仿宋_GB2312" w:eastAsia="仿宋_GB2312" w:cs="仿宋_GB2312"/>
          <w:sz w:val="32"/>
          <w:szCs w:val="21"/>
        </w:rPr>
        <w:fldChar w:fldCharType="end"/>
      </w:r>
      <w:bookmarkEnd w:id="0"/>
      <w:r>
        <w:rPr>
          <w:rFonts w:hint="eastAsia" w:ascii="仿宋_GB2312" w:hAnsi="仿宋_GB2312" w:eastAsia="仿宋_GB2312" w:cs="仿宋_GB2312"/>
          <w:sz w:val="32"/>
          <w:szCs w:val="21"/>
        </w:rPr>
        <w:t xml:space="preserve"> 海洋垃圾尺寸分类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5"/>
        <w:gridCol w:w="4336"/>
      </w:tblGrid>
      <w:tr w14:paraId="0825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35" w:type="dxa"/>
            <w:shd w:val="clear" w:color="auto" w:fill="auto"/>
            <w:vAlign w:val="center"/>
          </w:tcPr>
          <w:p w14:paraId="085574E2">
            <w:pPr>
              <w:jc w:val="center"/>
              <w:rPr>
                <w:rFonts w:ascii="宋体" w:hAnsi="宋体" w:eastAsia="宋体" w:cs="仿宋_GB2312"/>
                <w:b/>
                <w:color w:val="000000"/>
                <w:sz w:val="28"/>
                <w:szCs w:val="32"/>
              </w:rPr>
            </w:pPr>
            <w:r>
              <w:rPr>
                <w:rFonts w:hint="eastAsia" w:ascii="宋体" w:hAnsi="宋体" w:eastAsia="宋体" w:cs="仿宋_GB2312"/>
                <w:b/>
                <w:color w:val="000000"/>
                <w:sz w:val="28"/>
                <w:szCs w:val="32"/>
              </w:rPr>
              <w:t>海洋垃圾类型</w:t>
            </w:r>
          </w:p>
        </w:tc>
        <w:tc>
          <w:tcPr>
            <w:tcW w:w="4335" w:type="dxa"/>
            <w:shd w:val="clear" w:color="auto" w:fill="auto"/>
            <w:vAlign w:val="center"/>
          </w:tcPr>
          <w:p w14:paraId="406AB46D">
            <w:pPr>
              <w:jc w:val="center"/>
              <w:rPr>
                <w:rFonts w:ascii="宋体" w:hAnsi="宋体" w:eastAsia="宋体" w:cs="仿宋_GB2312"/>
                <w:b/>
                <w:color w:val="000000"/>
                <w:sz w:val="28"/>
                <w:szCs w:val="32"/>
              </w:rPr>
            </w:pPr>
            <w:r>
              <w:rPr>
                <w:rFonts w:hint="eastAsia" w:ascii="宋体" w:hAnsi="宋体" w:eastAsia="宋体" w:cs="仿宋_GB2312"/>
                <w:b/>
                <w:color w:val="000000"/>
                <w:sz w:val="28"/>
                <w:szCs w:val="32"/>
              </w:rPr>
              <w:t>尺寸规格（</w:t>
            </w:r>
            <w:r>
              <w:rPr>
                <w:rFonts w:ascii="宋体" w:hAnsi="宋体" w:eastAsia="宋体" w:cs="仿宋_GB2312"/>
                <w:b/>
                <w:color w:val="000000"/>
                <w:sz w:val="28"/>
                <w:szCs w:val="32"/>
              </w:rPr>
              <w:t>d</w:t>
            </w:r>
            <w:r>
              <w:rPr>
                <w:rFonts w:hint="eastAsia" w:ascii="宋体" w:hAnsi="宋体" w:eastAsia="宋体" w:cs="仿宋_GB2312"/>
                <w:b/>
                <w:color w:val="000000"/>
                <w:sz w:val="28"/>
                <w:szCs w:val="32"/>
              </w:rPr>
              <w:t>）</w:t>
            </w:r>
          </w:p>
        </w:tc>
      </w:tr>
      <w:tr w14:paraId="6E24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35" w:type="dxa"/>
            <w:shd w:val="clear" w:color="auto" w:fill="auto"/>
            <w:vAlign w:val="center"/>
          </w:tcPr>
          <w:p w14:paraId="14C9253F">
            <w:pPr>
              <w:jc w:val="center"/>
              <w:rPr>
                <w:rFonts w:ascii="宋体" w:hAnsi="宋体" w:eastAsia="宋体" w:cs="仿宋_GB2312"/>
                <w:color w:val="000000"/>
                <w:sz w:val="28"/>
                <w:szCs w:val="32"/>
              </w:rPr>
            </w:pPr>
            <w:r>
              <w:rPr>
                <w:rFonts w:hint="eastAsia" w:ascii="宋体" w:hAnsi="宋体" w:eastAsia="宋体" w:cs="仿宋_GB2312"/>
                <w:color w:val="000000"/>
                <w:sz w:val="28"/>
                <w:szCs w:val="32"/>
              </w:rPr>
              <w:t>特大块垃圾</w:t>
            </w:r>
          </w:p>
        </w:tc>
        <w:tc>
          <w:tcPr>
            <w:tcW w:w="4335" w:type="dxa"/>
            <w:shd w:val="clear" w:color="auto" w:fill="auto"/>
            <w:vAlign w:val="center"/>
          </w:tcPr>
          <w:p w14:paraId="5C04C171">
            <w:pPr>
              <w:jc w:val="center"/>
              <w:rPr>
                <w:rFonts w:ascii="Times New Roman" w:hAnsi="Times New Roman" w:eastAsia="宋体"/>
                <w:color w:val="000000"/>
                <w:sz w:val="28"/>
                <w:szCs w:val="32"/>
              </w:rPr>
            </w:pPr>
            <w:r>
              <w:rPr>
                <w:rFonts w:ascii="Times New Roman" w:hAnsi="Times New Roman" w:eastAsia="宋体"/>
                <w:color w:val="000000"/>
                <w:sz w:val="28"/>
                <w:szCs w:val="32"/>
              </w:rPr>
              <w:t xml:space="preserve">d </w:t>
            </w:r>
            <w:r>
              <w:rPr>
                <w:rFonts w:hint="eastAsia" w:ascii="Times New Roman" w:hAnsi="Times New Roman" w:eastAsia="宋体"/>
                <w:color w:val="000000"/>
                <w:sz w:val="28"/>
                <w:szCs w:val="32"/>
              </w:rPr>
              <w:t>≥1</w:t>
            </w:r>
            <w:r>
              <w:rPr>
                <w:rFonts w:ascii="Times New Roman" w:hAnsi="Times New Roman" w:eastAsia="宋体"/>
                <w:color w:val="000000"/>
                <w:sz w:val="28"/>
                <w:szCs w:val="32"/>
              </w:rPr>
              <w:t xml:space="preserve"> m</w:t>
            </w:r>
          </w:p>
        </w:tc>
      </w:tr>
      <w:tr w14:paraId="02D8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35" w:type="dxa"/>
            <w:shd w:val="clear" w:color="auto" w:fill="auto"/>
            <w:vAlign w:val="center"/>
          </w:tcPr>
          <w:p w14:paraId="3BBA81EE">
            <w:pPr>
              <w:jc w:val="center"/>
              <w:rPr>
                <w:rFonts w:ascii="宋体" w:hAnsi="宋体" w:eastAsia="宋体" w:cs="仿宋_GB2312"/>
                <w:color w:val="000000"/>
                <w:sz w:val="28"/>
                <w:szCs w:val="32"/>
              </w:rPr>
            </w:pPr>
            <w:r>
              <w:rPr>
                <w:rFonts w:hint="eastAsia" w:ascii="宋体" w:hAnsi="宋体" w:eastAsia="宋体" w:cs="仿宋_GB2312"/>
                <w:color w:val="000000"/>
                <w:sz w:val="28"/>
                <w:szCs w:val="32"/>
              </w:rPr>
              <w:t>大块垃圾</w:t>
            </w:r>
          </w:p>
        </w:tc>
        <w:tc>
          <w:tcPr>
            <w:tcW w:w="4335" w:type="dxa"/>
            <w:shd w:val="clear" w:color="auto" w:fill="auto"/>
            <w:vAlign w:val="center"/>
          </w:tcPr>
          <w:p w14:paraId="362969BF">
            <w:pPr>
              <w:jc w:val="center"/>
              <w:rPr>
                <w:rFonts w:ascii="Times New Roman" w:hAnsi="Times New Roman" w:eastAsia="宋体"/>
                <w:color w:val="000000"/>
                <w:sz w:val="28"/>
                <w:szCs w:val="32"/>
              </w:rPr>
            </w:pPr>
            <w:r>
              <w:rPr>
                <w:rFonts w:ascii="Times New Roman" w:hAnsi="Times New Roman" w:eastAsia="宋体"/>
                <w:color w:val="000000"/>
                <w:sz w:val="28"/>
                <w:szCs w:val="32"/>
              </w:rPr>
              <w:t xml:space="preserve">2.5 </w:t>
            </w:r>
            <w:r>
              <w:rPr>
                <w:rFonts w:hint="eastAsia" w:ascii="Times New Roman" w:hAnsi="Times New Roman" w:eastAsia="宋体"/>
                <w:color w:val="000000"/>
                <w:sz w:val="28"/>
                <w:szCs w:val="32"/>
              </w:rPr>
              <w:t>cm≤</w:t>
            </w:r>
            <w:r>
              <w:rPr>
                <w:rFonts w:ascii="Times New Roman" w:hAnsi="Times New Roman" w:eastAsia="宋体"/>
                <w:color w:val="000000"/>
                <w:sz w:val="28"/>
                <w:szCs w:val="32"/>
              </w:rPr>
              <w:t xml:space="preserve"> d </w:t>
            </w:r>
            <w:r>
              <w:rPr>
                <w:rFonts w:hint="eastAsia" w:ascii="Times New Roman" w:hAnsi="Times New Roman" w:eastAsia="宋体"/>
                <w:color w:val="000000"/>
                <w:sz w:val="28"/>
                <w:szCs w:val="32"/>
              </w:rPr>
              <w:t xml:space="preserve">＜ </w:t>
            </w:r>
            <w:r>
              <w:rPr>
                <w:rFonts w:ascii="Times New Roman" w:hAnsi="Times New Roman" w:eastAsia="宋体"/>
                <w:color w:val="000000"/>
                <w:sz w:val="28"/>
                <w:szCs w:val="32"/>
              </w:rPr>
              <w:t>1 m</w:t>
            </w:r>
          </w:p>
        </w:tc>
      </w:tr>
      <w:tr w14:paraId="1704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35" w:type="dxa"/>
            <w:shd w:val="clear" w:color="auto" w:fill="auto"/>
            <w:vAlign w:val="center"/>
          </w:tcPr>
          <w:p w14:paraId="120BFD85">
            <w:pPr>
              <w:jc w:val="center"/>
              <w:rPr>
                <w:rFonts w:ascii="宋体" w:hAnsi="宋体" w:eastAsia="宋体" w:cs="仿宋_GB2312"/>
                <w:color w:val="000000"/>
                <w:sz w:val="28"/>
                <w:szCs w:val="32"/>
              </w:rPr>
            </w:pPr>
            <w:r>
              <w:rPr>
                <w:rFonts w:hint="eastAsia" w:ascii="宋体" w:hAnsi="宋体" w:eastAsia="宋体" w:cs="仿宋_GB2312"/>
                <w:color w:val="000000"/>
                <w:sz w:val="28"/>
                <w:szCs w:val="32"/>
              </w:rPr>
              <w:t>中块垃圾</w:t>
            </w:r>
          </w:p>
        </w:tc>
        <w:tc>
          <w:tcPr>
            <w:tcW w:w="4335" w:type="dxa"/>
            <w:shd w:val="clear" w:color="auto" w:fill="auto"/>
            <w:vAlign w:val="center"/>
          </w:tcPr>
          <w:p w14:paraId="73F04DB1">
            <w:pPr>
              <w:jc w:val="center"/>
              <w:rPr>
                <w:rFonts w:ascii="Times New Roman" w:hAnsi="Times New Roman" w:eastAsia="宋体"/>
                <w:color w:val="000000"/>
                <w:sz w:val="28"/>
                <w:szCs w:val="32"/>
              </w:rPr>
            </w:pPr>
            <w:r>
              <w:rPr>
                <w:rFonts w:ascii="Times New Roman" w:hAnsi="Times New Roman" w:eastAsia="宋体"/>
                <w:color w:val="000000"/>
                <w:sz w:val="28"/>
                <w:szCs w:val="32"/>
              </w:rPr>
              <w:t xml:space="preserve">5 mm </w:t>
            </w:r>
            <w:r>
              <w:rPr>
                <w:rFonts w:hint="eastAsia" w:ascii="Times New Roman" w:hAnsi="Times New Roman" w:eastAsia="宋体"/>
                <w:color w:val="000000"/>
                <w:sz w:val="28"/>
                <w:szCs w:val="32"/>
              </w:rPr>
              <w:t>≤</w:t>
            </w:r>
            <w:r>
              <w:rPr>
                <w:rFonts w:ascii="Times New Roman" w:hAnsi="Times New Roman" w:eastAsia="宋体"/>
                <w:color w:val="000000"/>
                <w:sz w:val="28"/>
                <w:szCs w:val="32"/>
              </w:rPr>
              <w:t xml:space="preserve"> d </w:t>
            </w:r>
            <w:r>
              <w:rPr>
                <w:rFonts w:hint="eastAsia" w:ascii="Times New Roman" w:hAnsi="Times New Roman" w:eastAsia="宋体"/>
                <w:color w:val="000000"/>
                <w:sz w:val="28"/>
                <w:szCs w:val="32"/>
              </w:rPr>
              <w:t xml:space="preserve">＜ </w:t>
            </w:r>
            <w:r>
              <w:rPr>
                <w:rFonts w:ascii="Times New Roman" w:hAnsi="Times New Roman" w:eastAsia="宋体"/>
                <w:color w:val="000000"/>
                <w:sz w:val="28"/>
                <w:szCs w:val="32"/>
              </w:rPr>
              <w:t>2.5cm</w:t>
            </w:r>
          </w:p>
        </w:tc>
      </w:tr>
      <w:tr w14:paraId="1B00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35" w:type="dxa"/>
            <w:shd w:val="clear" w:color="auto" w:fill="auto"/>
            <w:vAlign w:val="center"/>
          </w:tcPr>
          <w:p w14:paraId="3E5D3812">
            <w:pPr>
              <w:jc w:val="center"/>
              <w:rPr>
                <w:rFonts w:ascii="宋体" w:hAnsi="宋体" w:eastAsia="宋体" w:cs="仿宋_GB2312"/>
                <w:color w:val="000000"/>
                <w:sz w:val="28"/>
                <w:szCs w:val="32"/>
              </w:rPr>
            </w:pPr>
            <w:r>
              <w:rPr>
                <w:rFonts w:hint="eastAsia" w:ascii="宋体" w:hAnsi="宋体" w:eastAsia="宋体" w:cs="仿宋_GB2312"/>
                <w:color w:val="000000"/>
                <w:sz w:val="28"/>
                <w:szCs w:val="32"/>
              </w:rPr>
              <w:t>小块垃圾</w:t>
            </w:r>
          </w:p>
        </w:tc>
        <w:tc>
          <w:tcPr>
            <w:tcW w:w="4335" w:type="dxa"/>
            <w:shd w:val="clear" w:color="auto" w:fill="auto"/>
            <w:vAlign w:val="center"/>
          </w:tcPr>
          <w:p w14:paraId="79E36078">
            <w:pPr>
              <w:jc w:val="center"/>
              <w:rPr>
                <w:rFonts w:ascii="Times New Roman" w:hAnsi="Times New Roman" w:eastAsia="宋体"/>
                <w:color w:val="000000"/>
                <w:sz w:val="28"/>
                <w:szCs w:val="32"/>
              </w:rPr>
            </w:pPr>
            <w:r>
              <w:rPr>
                <w:rFonts w:ascii="Times New Roman" w:hAnsi="Times New Roman" w:eastAsia="宋体"/>
                <w:color w:val="000000"/>
                <w:sz w:val="28"/>
                <w:szCs w:val="32"/>
              </w:rPr>
              <w:t xml:space="preserve">d </w:t>
            </w:r>
            <w:r>
              <w:rPr>
                <w:rFonts w:hint="eastAsia" w:ascii="Times New Roman" w:hAnsi="Times New Roman" w:eastAsia="宋体"/>
                <w:color w:val="000000"/>
                <w:sz w:val="28"/>
                <w:szCs w:val="32"/>
              </w:rPr>
              <w:t xml:space="preserve">＜ </w:t>
            </w:r>
            <w:r>
              <w:rPr>
                <w:rFonts w:ascii="Times New Roman" w:hAnsi="Times New Roman" w:eastAsia="宋体"/>
                <w:color w:val="000000"/>
                <w:sz w:val="28"/>
                <w:szCs w:val="32"/>
              </w:rPr>
              <w:t>5 mm</w:t>
            </w:r>
          </w:p>
        </w:tc>
      </w:tr>
      <w:tr w14:paraId="460C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671" w:type="dxa"/>
            <w:gridSpan w:val="2"/>
            <w:shd w:val="clear" w:color="auto" w:fill="auto"/>
            <w:vAlign w:val="center"/>
          </w:tcPr>
          <w:p w14:paraId="235BD132">
            <w:pPr>
              <w:jc w:val="left"/>
              <w:rPr>
                <w:rFonts w:ascii="宋体" w:hAnsi="宋体" w:eastAsia="宋体" w:cs="仿宋_GB2312"/>
                <w:color w:val="000000"/>
                <w:sz w:val="28"/>
                <w:szCs w:val="32"/>
              </w:rPr>
            </w:pPr>
            <w:r>
              <w:rPr>
                <w:rFonts w:hint="eastAsia" w:ascii="宋体" w:hAnsi="宋体" w:eastAsia="宋体" w:cs="仿宋_GB2312"/>
                <w:color w:val="000000"/>
                <w:sz w:val="28"/>
                <w:szCs w:val="32"/>
              </w:rPr>
              <w:t>注：按物品维度的最长尺寸判定海洋垃圾类型。</w:t>
            </w:r>
          </w:p>
        </w:tc>
      </w:tr>
    </w:tbl>
    <w:p w14:paraId="0530A6CF">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根据各类海洋垃圾在无人机影像上表现出的色调、颜色、形状、纹理等特征，建立海洋垃圾解译标志。根据海洋垃圾遥感解译标志采用机器自动分类为主，人工目视解译为辅的遥感分类方法，提取监管区域海洋垃圾信息。</w:t>
      </w:r>
    </w:p>
    <w:p w14:paraId="4FCDE566">
      <w:pPr>
        <w:pStyle w:val="2"/>
        <w:keepNext/>
        <w:jc w:val="center"/>
        <w:rPr>
          <w:rFonts w:hint="eastAsia" w:ascii="仿宋_GB2312" w:hAnsi="仿宋_GB2312" w:eastAsia="仿宋_GB2312" w:cs="仿宋_GB2312"/>
          <w:sz w:val="32"/>
          <w:szCs w:val="21"/>
        </w:rPr>
      </w:pPr>
      <w:r>
        <w:rPr>
          <w:rFonts w:hint="eastAsia" w:ascii="仿宋_GB2312" w:hAnsi="仿宋_GB2312" w:eastAsia="仿宋_GB2312" w:cs="仿宋_GB2312"/>
          <w:sz w:val="32"/>
          <w:szCs w:val="21"/>
        </w:rPr>
        <w:t xml:space="preserve">表 </w:t>
      </w:r>
      <w:r>
        <w:rPr>
          <w:rFonts w:hint="eastAsia" w:ascii="仿宋_GB2312" w:hAnsi="仿宋_GB2312" w:eastAsia="仿宋_GB2312" w:cs="仿宋_GB2312"/>
          <w:sz w:val="32"/>
          <w:szCs w:val="21"/>
        </w:rPr>
        <w:fldChar w:fldCharType="begin"/>
      </w:r>
      <w:r>
        <w:rPr>
          <w:rFonts w:hint="eastAsia" w:ascii="仿宋_GB2312" w:hAnsi="仿宋_GB2312" w:eastAsia="仿宋_GB2312" w:cs="仿宋_GB2312"/>
          <w:sz w:val="32"/>
          <w:szCs w:val="21"/>
        </w:rPr>
        <w:instrText xml:space="preserve"> SEQ 表 \* ARABIC </w:instrText>
      </w:r>
      <w:r>
        <w:rPr>
          <w:rFonts w:hint="eastAsia" w:ascii="仿宋_GB2312" w:hAnsi="仿宋_GB2312" w:eastAsia="仿宋_GB2312" w:cs="仿宋_GB2312"/>
          <w:sz w:val="32"/>
          <w:szCs w:val="21"/>
        </w:rPr>
        <w:fldChar w:fldCharType="separate"/>
      </w:r>
      <w:r>
        <w:rPr>
          <w:rFonts w:hint="eastAsia" w:ascii="仿宋_GB2312" w:hAnsi="仿宋_GB2312" w:eastAsia="仿宋_GB2312" w:cs="仿宋_GB2312"/>
          <w:sz w:val="32"/>
          <w:szCs w:val="21"/>
        </w:rPr>
        <w:t>2</w:t>
      </w:r>
      <w:r>
        <w:rPr>
          <w:rFonts w:hint="eastAsia" w:ascii="仿宋_GB2312" w:hAnsi="仿宋_GB2312" w:eastAsia="仿宋_GB2312" w:cs="仿宋_GB2312"/>
          <w:sz w:val="32"/>
          <w:szCs w:val="21"/>
        </w:rPr>
        <w:fldChar w:fldCharType="end"/>
      </w:r>
      <w:r>
        <w:rPr>
          <w:rFonts w:hint="eastAsia" w:ascii="仿宋_GB2312" w:hAnsi="仿宋_GB2312" w:eastAsia="仿宋_GB2312" w:cs="仿宋_GB2312"/>
          <w:sz w:val="32"/>
          <w:szCs w:val="21"/>
        </w:rPr>
        <w:t xml:space="preserve"> 海洋垃圾解译标志</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571"/>
        <w:gridCol w:w="1379"/>
        <w:gridCol w:w="1475"/>
        <w:gridCol w:w="2570"/>
      </w:tblGrid>
      <w:tr w14:paraId="4938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Merge w:val="restart"/>
            <w:shd w:val="clear" w:color="auto" w:fill="auto"/>
            <w:vAlign w:val="center"/>
          </w:tcPr>
          <w:p w14:paraId="3A02BD0F">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垃圾类型</w:t>
            </w:r>
          </w:p>
        </w:tc>
        <w:tc>
          <w:tcPr>
            <w:tcW w:w="4425" w:type="dxa"/>
            <w:gridSpan w:val="3"/>
            <w:shd w:val="clear" w:color="auto" w:fill="auto"/>
            <w:vAlign w:val="center"/>
          </w:tcPr>
          <w:p w14:paraId="54D07D33">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标志描述</w:t>
            </w:r>
          </w:p>
        </w:tc>
        <w:tc>
          <w:tcPr>
            <w:tcW w:w="2570" w:type="dxa"/>
            <w:vMerge w:val="restart"/>
            <w:shd w:val="clear" w:color="auto" w:fill="auto"/>
            <w:vAlign w:val="center"/>
          </w:tcPr>
          <w:p w14:paraId="0BFC5380">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影像样例</w:t>
            </w:r>
          </w:p>
        </w:tc>
      </w:tr>
      <w:tr w14:paraId="40E4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Merge w:val="continue"/>
            <w:shd w:val="clear" w:color="auto" w:fill="auto"/>
            <w:vAlign w:val="center"/>
          </w:tcPr>
          <w:p w14:paraId="61D68D75">
            <w:pPr>
              <w:pStyle w:val="19"/>
              <w:widowControl/>
              <w:ind w:left="0" w:right="85"/>
              <w:jc w:val="center"/>
              <w:rPr>
                <w:rFonts w:ascii="宋体" w:hAnsi="宋体" w:eastAsia="宋体" w:cs="仿宋_GB2312"/>
                <w:color w:val="000000"/>
                <w:sz w:val="24"/>
                <w:szCs w:val="32"/>
              </w:rPr>
            </w:pPr>
          </w:p>
        </w:tc>
        <w:tc>
          <w:tcPr>
            <w:tcW w:w="1571" w:type="dxa"/>
            <w:shd w:val="clear" w:color="auto" w:fill="auto"/>
            <w:vAlign w:val="center"/>
          </w:tcPr>
          <w:p w14:paraId="07A6EBC4">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颜色或色调</w:t>
            </w:r>
          </w:p>
        </w:tc>
        <w:tc>
          <w:tcPr>
            <w:tcW w:w="1379" w:type="dxa"/>
            <w:shd w:val="clear" w:color="auto" w:fill="auto"/>
            <w:vAlign w:val="center"/>
          </w:tcPr>
          <w:p w14:paraId="5018D501">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形状</w:t>
            </w:r>
          </w:p>
        </w:tc>
        <w:tc>
          <w:tcPr>
            <w:tcW w:w="1475" w:type="dxa"/>
            <w:shd w:val="clear" w:color="auto" w:fill="auto"/>
            <w:vAlign w:val="center"/>
          </w:tcPr>
          <w:p w14:paraId="0207CD00">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纹理</w:t>
            </w:r>
          </w:p>
        </w:tc>
        <w:tc>
          <w:tcPr>
            <w:tcW w:w="2570" w:type="dxa"/>
            <w:vMerge w:val="continue"/>
            <w:shd w:val="clear" w:color="auto" w:fill="auto"/>
            <w:vAlign w:val="center"/>
          </w:tcPr>
          <w:p w14:paraId="02B52794">
            <w:pPr>
              <w:pStyle w:val="19"/>
              <w:widowControl/>
              <w:ind w:left="0" w:right="85"/>
              <w:jc w:val="center"/>
              <w:rPr>
                <w:rFonts w:ascii="宋体" w:hAnsi="宋体" w:eastAsia="宋体" w:cs="仿宋_GB2312"/>
                <w:color w:val="000000"/>
                <w:sz w:val="24"/>
                <w:szCs w:val="32"/>
              </w:rPr>
            </w:pPr>
          </w:p>
        </w:tc>
      </w:tr>
      <w:tr w14:paraId="70E4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4A324343">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塑料</w:t>
            </w:r>
          </w:p>
        </w:tc>
        <w:tc>
          <w:tcPr>
            <w:tcW w:w="1571" w:type="dxa"/>
            <w:shd w:val="clear" w:color="auto" w:fill="auto"/>
            <w:vAlign w:val="center"/>
          </w:tcPr>
          <w:p w14:paraId="3461DF85">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颜色多样，色调通常较为明亮</w:t>
            </w:r>
          </w:p>
        </w:tc>
        <w:tc>
          <w:tcPr>
            <w:tcW w:w="1379" w:type="dxa"/>
            <w:shd w:val="clear" w:color="auto" w:fill="auto"/>
            <w:vAlign w:val="center"/>
          </w:tcPr>
          <w:p w14:paraId="1CFF6372">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形状多为不规则</w:t>
            </w:r>
          </w:p>
        </w:tc>
        <w:tc>
          <w:tcPr>
            <w:tcW w:w="1475" w:type="dxa"/>
            <w:shd w:val="clear" w:color="auto" w:fill="auto"/>
            <w:vAlign w:val="center"/>
          </w:tcPr>
          <w:p w14:paraId="4FE8983D">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软性塑料多存在褶皱，硬制塑料表面较为光滑</w:t>
            </w:r>
          </w:p>
        </w:tc>
        <w:tc>
          <w:tcPr>
            <w:tcW w:w="2570" w:type="dxa"/>
            <w:shd w:val="clear" w:color="auto" w:fill="auto"/>
            <w:vAlign w:val="center"/>
          </w:tcPr>
          <w:p w14:paraId="7427C6FA">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3EAB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0B1C40E9">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聚苯乙烯泡沫塑料</w:t>
            </w:r>
          </w:p>
        </w:tc>
        <w:tc>
          <w:tcPr>
            <w:tcW w:w="1571" w:type="dxa"/>
            <w:shd w:val="clear" w:color="auto" w:fill="auto"/>
            <w:vAlign w:val="center"/>
          </w:tcPr>
          <w:p w14:paraId="1C4A6A81">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白色分布最为常见，黑色蓝色等其它颜色比例略少，色调查通常较为明亮</w:t>
            </w:r>
          </w:p>
        </w:tc>
        <w:tc>
          <w:tcPr>
            <w:tcW w:w="1379" w:type="dxa"/>
            <w:shd w:val="clear" w:color="auto" w:fill="auto"/>
            <w:vAlign w:val="center"/>
          </w:tcPr>
          <w:p w14:paraId="2663C06F">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形状多为圆形或不规则图形</w:t>
            </w:r>
          </w:p>
        </w:tc>
        <w:tc>
          <w:tcPr>
            <w:tcW w:w="1475" w:type="dxa"/>
            <w:shd w:val="clear" w:color="auto" w:fill="auto"/>
            <w:vAlign w:val="center"/>
          </w:tcPr>
          <w:p w14:paraId="6A08C4A2">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表面通常较为光滑，有少量条纹</w:t>
            </w:r>
          </w:p>
        </w:tc>
        <w:tc>
          <w:tcPr>
            <w:tcW w:w="2570" w:type="dxa"/>
            <w:shd w:val="clear" w:color="auto" w:fill="auto"/>
            <w:vAlign w:val="center"/>
          </w:tcPr>
          <w:p w14:paraId="5C58394E">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3A69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214B300E">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玻璃类</w:t>
            </w:r>
          </w:p>
        </w:tc>
        <w:tc>
          <w:tcPr>
            <w:tcW w:w="1571" w:type="dxa"/>
            <w:shd w:val="clear" w:color="auto" w:fill="auto"/>
            <w:vAlign w:val="center"/>
          </w:tcPr>
          <w:p w14:paraId="169F21B9">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颜色多样</w:t>
            </w:r>
          </w:p>
        </w:tc>
        <w:tc>
          <w:tcPr>
            <w:tcW w:w="1379" w:type="dxa"/>
            <w:shd w:val="clear" w:color="auto" w:fill="auto"/>
            <w:vAlign w:val="center"/>
          </w:tcPr>
          <w:p w14:paraId="6E7FD8E2">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形状多为瓶状或碎片状不规则图形</w:t>
            </w:r>
          </w:p>
        </w:tc>
        <w:tc>
          <w:tcPr>
            <w:tcW w:w="1475" w:type="dxa"/>
            <w:shd w:val="clear" w:color="auto" w:fill="auto"/>
            <w:vAlign w:val="center"/>
          </w:tcPr>
          <w:p w14:paraId="10A34ABB">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表面通常较为光滑，常有光斑</w:t>
            </w:r>
          </w:p>
        </w:tc>
        <w:tc>
          <w:tcPr>
            <w:tcW w:w="2570" w:type="dxa"/>
            <w:shd w:val="clear" w:color="auto" w:fill="auto"/>
            <w:vAlign w:val="center"/>
          </w:tcPr>
          <w:p w14:paraId="66AF2442">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72D0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1F2BD092">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金属类</w:t>
            </w:r>
          </w:p>
        </w:tc>
        <w:tc>
          <w:tcPr>
            <w:tcW w:w="1571" w:type="dxa"/>
            <w:shd w:val="clear" w:color="auto" w:fill="auto"/>
            <w:vAlign w:val="center"/>
          </w:tcPr>
          <w:p w14:paraId="0C42207D">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颜色多样</w:t>
            </w:r>
            <w:r>
              <w:rPr>
                <w:rFonts w:ascii="宋体" w:hAnsi="宋体" w:eastAsia="宋体" w:cs="仿宋_GB2312"/>
                <w:color w:val="000000"/>
                <w:sz w:val="24"/>
                <w:szCs w:val="32"/>
              </w:rPr>
              <w:t>,被锈蚀后为棕色</w:t>
            </w:r>
          </w:p>
        </w:tc>
        <w:tc>
          <w:tcPr>
            <w:tcW w:w="1379" w:type="dxa"/>
            <w:shd w:val="clear" w:color="auto" w:fill="auto"/>
            <w:vAlign w:val="center"/>
          </w:tcPr>
          <w:p w14:paraId="195BFCB0">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形状为桶状或者碎片状不规则图形</w:t>
            </w:r>
          </w:p>
        </w:tc>
        <w:tc>
          <w:tcPr>
            <w:tcW w:w="1475" w:type="dxa"/>
            <w:shd w:val="clear" w:color="auto" w:fill="auto"/>
            <w:vAlign w:val="center"/>
          </w:tcPr>
          <w:p w14:paraId="32795D74">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表面通常有条纹</w:t>
            </w:r>
          </w:p>
        </w:tc>
        <w:tc>
          <w:tcPr>
            <w:tcW w:w="2570" w:type="dxa"/>
            <w:shd w:val="clear" w:color="auto" w:fill="auto"/>
            <w:vAlign w:val="center"/>
          </w:tcPr>
          <w:p w14:paraId="228386BA">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0B29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451347BC">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橡胶类</w:t>
            </w:r>
          </w:p>
        </w:tc>
        <w:tc>
          <w:tcPr>
            <w:tcW w:w="1571" w:type="dxa"/>
            <w:shd w:val="clear" w:color="auto" w:fill="auto"/>
            <w:vAlign w:val="center"/>
          </w:tcPr>
          <w:p w14:paraId="6BC2A93A">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颜色多为黑色，色调较暗</w:t>
            </w:r>
          </w:p>
        </w:tc>
        <w:tc>
          <w:tcPr>
            <w:tcW w:w="1379" w:type="dxa"/>
            <w:shd w:val="clear" w:color="auto" w:fill="auto"/>
            <w:vAlign w:val="center"/>
          </w:tcPr>
          <w:p w14:paraId="4B2AC14C">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形状多为圆形、长条形或其它不规则形状</w:t>
            </w:r>
          </w:p>
        </w:tc>
        <w:tc>
          <w:tcPr>
            <w:tcW w:w="1475" w:type="dxa"/>
            <w:shd w:val="clear" w:color="auto" w:fill="auto"/>
            <w:vAlign w:val="center"/>
          </w:tcPr>
          <w:p w14:paraId="40C50034">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表面通常有较多条纹</w:t>
            </w:r>
          </w:p>
        </w:tc>
        <w:tc>
          <w:tcPr>
            <w:tcW w:w="2570" w:type="dxa"/>
            <w:shd w:val="clear" w:color="auto" w:fill="auto"/>
            <w:vAlign w:val="center"/>
          </w:tcPr>
          <w:p w14:paraId="24920211">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562B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1D136693">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织物（布）类</w:t>
            </w:r>
          </w:p>
        </w:tc>
        <w:tc>
          <w:tcPr>
            <w:tcW w:w="1571" w:type="dxa"/>
            <w:shd w:val="clear" w:color="auto" w:fill="auto"/>
            <w:vAlign w:val="center"/>
          </w:tcPr>
          <w:p w14:paraId="5DDE024C">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颜色多样</w:t>
            </w:r>
          </w:p>
        </w:tc>
        <w:tc>
          <w:tcPr>
            <w:tcW w:w="1379" w:type="dxa"/>
            <w:shd w:val="clear" w:color="auto" w:fill="auto"/>
            <w:vAlign w:val="center"/>
          </w:tcPr>
          <w:p w14:paraId="75C3748D">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形状多为条状或碎片状不规则图形</w:t>
            </w:r>
          </w:p>
        </w:tc>
        <w:tc>
          <w:tcPr>
            <w:tcW w:w="1475" w:type="dxa"/>
            <w:shd w:val="clear" w:color="auto" w:fill="auto"/>
            <w:vAlign w:val="center"/>
          </w:tcPr>
          <w:p w14:paraId="319D4488">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表面有较多条纹</w:t>
            </w:r>
          </w:p>
        </w:tc>
        <w:tc>
          <w:tcPr>
            <w:tcW w:w="2570" w:type="dxa"/>
            <w:shd w:val="clear" w:color="auto" w:fill="auto"/>
            <w:vAlign w:val="center"/>
          </w:tcPr>
          <w:p w14:paraId="7C6A578E">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4084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0A507287">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木制品类</w:t>
            </w:r>
          </w:p>
        </w:tc>
        <w:tc>
          <w:tcPr>
            <w:tcW w:w="1571" w:type="dxa"/>
            <w:shd w:val="clear" w:color="auto" w:fill="auto"/>
            <w:vAlign w:val="center"/>
          </w:tcPr>
          <w:p w14:paraId="3398B5AD">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颜色多为灰色、黄色</w:t>
            </w:r>
          </w:p>
        </w:tc>
        <w:tc>
          <w:tcPr>
            <w:tcW w:w="1379" w:type="dxa"/>
            <w:shd w:val="clear" w:color="auto" w:fill="auto"/>
            <w:vAlign w:val="center"/>
          </w:tcPr>
          <w:p w14:paraId="6DE2AF24">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形状多为条状或碎片状不规则图形</w:t>
            </w:r>
          </w:p>
        </w:tc>
        <w:tc>
          <w:tcPr>
            <w:tcW w:w="1475" w:type="dxa"/>
            <w:shd w:val="clear" w:color="auto" w:fill="auto"/>
            <w:vAlign w:val="center"/>
          </w:tcPr>
          <w:p w14:paraId="0225663C">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表面有较多条纹</w:t>
            </w:r>
          </w:p>
        </w:tc>
        <w:tc>
          <w:tcPr>
            <w:tcW w:w="2570" w:type="dxa"/>
            <w:shd w:val="clear" w:color="auto" w:fill="auto"/>
            <w:vAlign w:val="center"/>
          </w:tcPr>
          <w:p w14:paraId="0A0FDE66">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r w14:paraId="50E4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shd w:val="clear" w:color="auto" w:fill="auto"/>
            <w:vAlign w:val="center"/>
          </w:tcPr>
          <w:p w14:paraId="4E0CD59C">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t>纸质品类</w:t>
            </w:r>
          </w:p>
        </w:tc>
        <w:tc>
          <w:tcPr>
            <w:tcW w:w="1571" w:type="dxa"/>
            <w:shd w:val="clear" w:color="auto" w:fill="auto"/>
            <w:vAlign w:val="center"/>
          </w:tcPr>
          <w:p w14:paraId="553E5B2E">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颜色多为白色、黄色</w:t>
            </w:r>
          </w:p>
        </w:tc>
        <w:tc>
          <w:tcPr>
            <w:tcW w:w="1379" w:type="dxa"/>
            <w:shd w:val="clear" w:color="auto" w:fill="auto"/>
            <w:vAlign w:val="center"/>
          </w:tcPr>
          <w:p w14:paraId="66BE7CCD">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形状多为方形或碎片状不规则图形</w:t>
            </w:r>
          </w:p>
        </w:tc>
        <w:tc>
          <w:tcPr>
            <w:tcW w:w="1475" w:type="dxa"/>
            <w:shd w:val="clear" w:color="auto" w:fill="auto"/>
            <w:vAlign w:val="center"/>
          </w:tcPr>
          <w:p w14:paraId="2C0E4B6A">
            <w:pPr>
              <w:pStyle w:val="19"/>
              <w:widowControl/>
              <w:ind w:left="0" w:right="85"/>
              <w:jc w:val="left"/>
              <w:rPr>
                <w:rFonts w:ascii="宋体" w:hAnsi="宋体" w:eastAsia="宋体" w:cs="仿宋_GB2312"/>
                <w:color w:val="000000"/>
                <w:sz w:val="24"/>
                <w:szCs w:val="32"/>
              </w:rPr>
            </w:pPr>
            <w:r>
              <w:rPr>
                <w:rFonts w:hint="eastAsia" w:ascii="宋体" w:hAnsi="宋体" w:eastAsia="宋体" w:cs="仿宋_GB2312"/>
                <w:color w:val="000000"/>
                <w:sz w:val="24"/>
                <w:szCs w:val="32"/>
              </w:rPr>
              <w:t>表面通常无条纹或少量条纹</w:t>
            </w:r>
          </w:p>
        </w:tc>
        <w:tc>
          <w:tcPr>
            <w:tcW w:w="2570" w:type="dxa"/>
            <w:shd w:val="clear" w:color="auto" w:fill="auto"/>
            <w:vAlign w:val="center"/>
          </w:tcPr>
          <w:p w14:paraId="08B57085">
            <w:pPr>
              <w:pStyle w:val="19"/>
              <w:widowControl/>
              <w:ind w:left="0" w:right="85"/>
              <w:jc w:val="center"/>
              <w:rPr>
                <w:rFonts w:ascii="宋体" w:hAnsi="宋体" w:eastAsia="宋体" w:cs="仿宋_GB2312"/>
                <w:color w:val="000000"/>
                <w:sz w:val="24"/>
                <w:szCs w:val="32"/>
              </w:rPr>
            </w:pPr>
            <w:r>
              <w:rPr>
                <w:rFonts w:hint="eastAsia" w:ascii="宋体" w:hAnsi="宋体" w:eastAsia="宋体" w:cs="仿宋_GB2312"/>
                <w:color w:val="000000"/>
                <w:sz w:val="24"/>
                <w:szCs w:val="32"/>
              </w:rPr>
              <w:drawing>
                <wp:inline distT="0" distB="0" distL="0" distR="0">
                  <wp:extent cx="1440815" cy="1259205"/>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40815" cy="1259205"/>
                          </a:xfrm>
                          <a:prstGeom prst="rect">
                            <a:avLst/>
                          </a:prstGeom>
                          <a:noFill/>
                          <a:ln>
                            <a:noFill/>
                          </a:ln>
                        </pic:spPr>
                      </pic:pic>
                    </a:graphicData>
                  </a:graphic>
                </wp:inline>
              </w:drawing>
            </w:r>
          </w:p>
        </w:tc>
      </w:tr>
    </w:tbl>
    <w:p w14:paraId="6B1DE4CF">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2.4评价单元划定</w:t>
      </w:r>
    </w:p>
    <w:p w14:paraId="76FCD83E">
      <w:pPr>
        <w:pStyle w:val="19"/>
        <w:widowControl/>
        <w:spacing w:before="0" w:line="360" w:lineRule="auto"/>
        <w:ind w:left="0" w:right="0"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为充分表现海湾局部、整体等不同层次的海洋垃圾分布特征，在航拍获取的海湾正射影像上，划定若干监测断面和整个航拍区域均作为评价单元，分别计算其盖度作为该海湾的评价指标，监测断面设置方法如下:</w:t>
      </w:r>
    </w:p>
    <w:p w14:paraId="79F010FD">
      <w:pPr>
        <w:pStyle w:val="19"/>
        <w:widowControl/>
        <w:spacing w:line="360" w:lineRule="auto"/>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1.长度不大于2km的海滩，宜布设不少于1个监测断面;长度为2km~5 km的海滩，宜布设不少于2个监测断面；长度大于等于5km的海滩，宜布设不少于3个监测断面。</w:t>
      </w:r>
    </w:p>
    <w:p w14:paraId="00AD710A">
      <w:pPr>
        <w:pStyle w:val="19"/>
        <w:widowControl/>
        <w:spacing w:line="360" w:lineRule="auto"/>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2.监测断面原则应均匀分布于监测区域，针对公众人流量较大的热点亲海区域应增设断面。</w:t>
      </w:r>
    </w:p>
    <w:p w14:paraId="0B8E23A7">
      <w:pPr>
        <w:pStyle w:val="19"/>
        <w:widowControl/>
        <w:spacing w:line="360" w:lineRule="auto"/>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3.断面宽度根据海滩垃圾污染目视程度确定，一般设置为100 m，相邻断面间隔不小于 50 m。</w:t>
      </w:r>
    </w:p>
    <w:p w14:paraId="54EB3FAC">
      <w:pPr>
        <w:pStyle w:val="19"/>
        <w:widowControl/>
        <w:spacing w:line="360" w:lineRule="auto"/>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监测断面设置参考标准:《海洋垃圾监测与评价技术规程(试行)》(海环字(2015)31号)。</w:t>
      </w:r>
    </w:p>
    <w:p w14:paraId="312F8402">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2.5覆盖度计算</w:t>
      </w:r>
    </w:p>
    <w:p w14:paraId="151D4476">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结合</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REF _Ref179792151 \h  \* MERGEFORMAT </w:instrText>
      </w:r>
      <w:r>
        <w:rPr>
          <w:rFonts w:hint="eastAsia" w:ascii="仿宋_GB2312" w:hAnsi="仿宋_GB2312" w:eastAsia="仿宋_GB2312" w:cs="仿宋_GB2312"/>
          <w:color w:val="000000"/>
          <w:sz w:val="32"/>
          <w:szCs w:val="32"/>
        </w:rPr>
        <w:fldChar w:fldCharType="separate"/>
      </w:r>
      <w:r>
        <w:rPr>
          <w:rFonts w:hint="eastAsia" w:ascii="仿宋_GB2312" w:hAnsi="仿宋_GB2312" w:eastAsia="仿宋_GB2312" w:cs="仿宋_GB2312"/>
          <w:color w:val="000000"/>
          <w:sz w:val="32"/>
          <w:szCs w:val="32"/>
        </w:rPr>
        <w:t>图 2</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，根据下列公式计算垃圾覆盖度：</w:t>
      </w:r>
    </w:p>
    <w:p w14:paraId="19C04120">
      <w:pPr>
        <w:pStyle w:val="19"/>
        <w:widowControl/>
        <w:ind w:left="0" w:right="85"/>
        <w:jc w:val="center"/>
        <w:rPr>
          <w:rFonts w:hint="eastAsia" w:ascii="仿宋_GB2312" w:hAnsi="仿宋_GB2312" w:eastAsia="仿宋_GB2312" w:cs="仿宋_GB2312"/>
          <w:color w:val="000000"/>
          <w:sz w:val="32"/>
          <w:szCs w:val="32"/>
        </w:rPr>
      </w:pPr>
      <m:oMathPara>
        <m:oMath>
          <m:r>
            <m:rPr>
              <m:sty m:val="p"/>
            </m:rPr>
            <w:rPr>
              <w:rFonts w:hint="eastAsia" w:ascii="Cambria Math" w:hAnsi="Cambria Math" w:eastAsia="仿宋_GB2312" w:cs="仿宋_GB2312"/>
              <w:color w:val="000000"/>
              <w:sz w:val="32"/>
              <w:szCs w:val="32"/>
            </w:rPr>
            <m:t>覆盖度=</m:t>
          </m:r>
          <m:f>
            <m:fPr>
              <m:ctrlPr>
                <w:rPr>
                  <w:rFonts w:hint="eastAsia" w:ascii="Cambria Math" w:hAnsi="Cambria Math" w:eastAsia="仿宋_GB2312" w:cs="仿宋_GB2312"/>
                  <w:color w:val="000000"/>
                  <w:sz w:val="32"/>
                  <w:szCs w:val="32"/>
                </w:rPr>
              </m:ctrlPr>
            </m:fPr>
            <m:num>
              <m:r>
                <m:rPr/>
                <w:rPr>
                  <w:rFonts w:hint="eastAsia" w:ascii="Cambria Math" w:hAnsi="Cambria Math" w:eastAsia="仿宋_GB2312" w:cs="仿宋_GB2312"/>
                  <w:color w:val="000000"/>
                  <w:sz w:val="32"/>
                  <w:szCs w:val="32"/>
                </w:rPr>
                <m:t>S</m:t>
              </m:r>
              <m:ctrlPr>
                <w:rPr>
                  <w:rFonts w:hint="eastAsia" w:ascii="Cambria Math" w:hAnsi="Cambria Math" w:eastAsia="仿宋_GB2312" w:cs="仿宋_GB2312"/>
                  <w:color w:val="000000"/>
                  <w:sz w:val="32"/>
                  <w:szCs w:val="32"/>
                </w:rPr>
              </m:ctrlPr>
            </m:num>
            <m:den>
              <m:r>
                <m:rPr/>
                <w:rPr>
                  <w:rFonts w:hint="eastAsia" w:ascii="Cambria Math" w:hAnsi="Cambria Math" w:eastAsia="仿宋_GB2312" w:cs="仿宋_GB2312"/>
                  <w:color w:val="000000"/>
                  <w:sz w:val="32"/>
                  <w:szCs w:val="32"/>
                </w:rPr>
                <m:t>D</m:t>
              </m:r>
              <m:ctrlPr>
                <w:rPr>
                  <w:rFonts w:hint="eastAsia" w:ascii="Cambria Math" w:hAnsi="Cambria Math" w:eastAsia="仿宋_GB2312" w:cs="仿宋_GB2312"/>
                  <w:color w:val="000000"/>
                  <w:sz w:val="32"/>
                  <w:szCs w:val="32"/>
                </w:rPr>
              </m:ctrlPr>
            </m:den>
          </m:f>
        </m:oMath>
      </m:oMathPara>
    </w:p>
    <w:p w14:paraId="5854D790">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图及式中：</w:t>
      </w:r>
    </w:p>
    <w:p w14:paraId="7BB3CE3A">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n——垃圾个数；</w:t>
      </w:r>
    </w:p>
    <w:p w14:paraId="21567037">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vertAlign w:val="subscript"/>
        </w:rPr>
        <w:t>n</w:t>
      </w:r>
      <w:r>
        <w:rPr>
          <w:rFonts w:hint="eastAsia" w:ascii="仿宋_GB2312" w:hAnsi="仿宋_GB2312" w:eastAsia="仿宋_GB2312" w:cs="仿宋_GB2312"/>
          <w:color w:val="000000"/>
          <w:sz w:val="32"/>
          <w:szCs w:val="32"/>
        </w:rPr>
        <w:t>——单个垃圾的面积，m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14:paraId="4D8CE117">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S——S</w:t>
      </w:r>
      <w:r>
        <w:rPr>
          <w:rFonts w:hint="eastAsia" w:ascii="仿宋_GB2312" w:hAnsi="仿宋_GB2312" w:eastAsia="仿宋_GB2312" w:cs="仿宋_GB2312"/>
          <w:color w:val="000000"/>
          <w:sz w:val="32"/>
          <w:szCs w:val="32"/>
          <w:vertAlign w:val="subscript"/>
        </w:rPr>
        <w:t>1</w:t>
      </w:r>
      <w:r>
        <w:rPr>
          <w:rFonts w:hint="eastAsia"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vertAlign w:val="subscript"/>
        </w:rPr>
        <w:t>2</w:t>
      </w:r>
      <w:r>
        <w:rPr>
          <w:rFonts w:hint="eastAsia"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vertAlign w:val="subscript"/>
        </w:rPr>
        <w:t>n</w:t>
      </w:r>
      <w:r>
        <w:rPr>
          <w:rFonts w:hint="eastAsia" w:ascii="仿宋_GB2312" w:hAnsi="仿宋_GB2312" w:eastAsia="仿宋_GB2312" w:cs="仿宋_GB2312"/>
          <w:color w:val="000000"/>
          <w:sz w:val="32"/>
          <w:szCs w:val="32"/>
        </w:rPr>
        <w:t>，垃圾覆盖面积，m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14:paraId="6F5EE759">
      <w:pPr>
        <w:pStyle w:val="19"/>
        <w:widowControl/>
        <w:ind w:left="0" w:right="85"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D——评价单元面积。</w:t>
      </w:r>
    </w:p>
    <w:p w14:paraId="0B422D7A">
      <w:pPr>
        <w:pStyle w:val="19"/>
        <w:keepNext/>
        <w:widowControl/>
        <w:ind w:left="0" w:right="85"/>
        <w:jc w:val="center"/>
      </w:pPr>
      <w:r>
        <w:drawing>
          <wp:inline distT="0" distB="0" distL="0" distR="0">
            <wp:extent cx="4820920" cy="3007360"/>
            <wp:effectExtent l="0" t="0" r="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89378" cy="3050249"/>
                    </a:xfrm>
                    <a:prstGeom prst="rect">
                      <a:avLst/>
                    </a:prstGeom>
                    <a:noFill/>
                    <a:ln>
                      <a:noFill/>
                    </a:ln>
                  </pic:spPr>
                </pic:pic>
              </a:graphicData>
            </a:graphic>
          </wp:inline>
        </w:drawing>
      </w:r>
    </w:p>
    <w:p w14:paraId="4F5A9861">
      <w:pPr>
        <w:pStyle w:val="2"/>
        <w:keepNext/>
        <w:jc w:val="center"/>
        <w:rPr>
          <w:rFonts w:hint="eastAsia" w:ascii="仿宋_GB2312" w:hAnsi="仿宋_GB2312" w:eastAsia="仿宋_GB2312" w:cs="仿宋_GB2312"/>
          <w:sz w:val="32"/>
          <w:szCs w:val="21"/>
        </w:rPr>
      </w:pPr>
      <w:bookmarkStart w:id="1" w:name="_Ref179792151"/>
      <w:r>
        <w:rPr>
          <w:rFonts w:hint="eastAsia" w:ascii="仿宋_GB2312" w:hAnsi="仿宋_GB2312" w:eastAsia="仿宋_GB2312" w:cs="仿宋_GB2312"/>
          <w:sz w:val="32"/>
          <w:szCs w:val="21"/>
        </w:rPr>
        <w:t xml:space="preserve">图 </w:t>
      </w:r>
      <w:r>
        <w:rPr>
          <w:rFonts w:hint="eastAsia" w:ascii="仿宋_GB2312" w:hAnsi="仿宋_GB2312" w:eastAsia="仿宋_GB2312" w:cs="仿宋_GB2312"/>
          <w:sz w:val="32"/>
          <w:szCs w:val="21"/>
        </w:rPr>
        <w:fldChar w:fldCharType="begin"/>
      </w:r>
      <w:r>
        <w:rPr>
          <w:rFonts w:hint="eastAsia" w:ascii="仿宋_GB2312" w:hAnsi="仿宋_GB2312" w:eastAsia="仿宋_GB2312" w:cs="仿宋_GB2312"/>
          <w:sz w:val="32"/>
          <w:szCs w:val="21"/>
        </w:rPr>
        <w:instrText xml:space="preserve"> SEQ 图 \* ARABIC </w:instrText>
      </w:r>
      <w:r>
        <w:rPr>
          <w:rFonts w:hint="eastAsia" w:ascii="仿宋_GB2312" w:hAnsi="仿宋_GB2312" w:eastAsia="仿宋_GB2312" w:cs="仿宋_GB2312"/>
          <w:sz w:val="32"/>
          <w:szCs w:val="21"/>
        </w:rPr>
        <w:fldChar w:fldCharType="separate"/>
      </w:r>
      <w:r>
        <w:rPr>
          <w:rFonts w:hint="eastAsia" w:ascii="仿宋_GB2312" w:hAnsi="仿宋_GB2312" w:eastAsia="仿宋_GB2312" w:cs="仿宋_GB2312"/>
          <w:sz w:val="32"/>
          <w:szCs w:val="21"/>
        </w:rPr>
        <w:t>2</w:t>
      </w:r>
      <w:r>
        <w:rPr>
          <w:rFonts w:hint="eastAsia" w:ascii="仿宋_GB2312" w:hAnsi="仿宋_GB2312" w:eastAsia="仿宋_GB2312" w:cs="仿宋_GB2312"/>
          <w:sz w:val="32"/>
          <w:szCs w:val="21"/>
        </w:rPr>
        <w:fldChar w:fldCharType="end"/>
      </w:r>
      <w:bookmarkEnd w:id="1"/>
      <w:r>
        <w:rPr>
          <w:rFonts w:hint="eastAsia" w:ascii="仿宋_GB2312" w:hAnsi="仿宋_GB2312" w:eastAsia="仿宋_GB2312" w:cs="仿宋_GB2312"/>
          <w:sz w:val="32"/>
          <w:szCs w:val="21"/>
        </w:rPr>
        <w:t xml:space="preserve"> 垃圾覆盖度计算示意图</w:t>
      </w:r>
    </w:p>
    <w:p w14:paraId="74A316BD">
      <w:pPr>
        <w:pStyle w:val="19"/>
        <w:widowControl/>
        <w:ind w:left="0" w:right="85"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2.6 海滩清洁状况</w:t>
      </w:r>
    </w:p>
    <w:p w14:paraId="18E44A7E">
      <w:pPr>
        <w:pStyle w:val="19"/>
        <w:widowControl/>
        <w:spacing w:before="0"/>
        <w:ind w:left="0" w:righ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海滩清洁状况指海湾内海洋垃圾得到及时有效清理处置，无明显垃圾带分布，海滩和海面环境保持清洁干净。</w:t>
      </w:r>
    </w:p>
    <w:p w14:paraId="76350E5C">
      <w:pPr>
        <w:pStyle w:val="19"/>
        <w:widowControl/>
        <w:spacing w:before="0"/>
        <w:ind w:left="0" w:righ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评价方法:现场调查监测海滩和海面垃圾清理处置和分布情况或利用无人机遥感监测数据(0.01m×0.01m分辨率以上)，评价湾内海滩和海面漂浮垃圾盖度(单位面积的海滩和海面垃圾分布面积所占比例)和垃圾带(垃圾聚集成带的长度在1m以上)分布情况。依据《海洋垃圾监测与评价技术规程》(试行)海环字(2015)31号)和《海洋监视监测无人机应用技术规范》(DB37/T4219-2020)，计算单位面积海滩垃圾和海面漂浮垃圾的个数、覆盖面积等。垃圾盖度在0.5‰以下为“清洁”，0.5‰-5‰为“基本清洁”，5‰以上为“不清洁”。</w:t>
      </w:r>
    </w:p>
    <w:p w14:paraId="35480F7D">
      <w:pPr>
        <w:widowControl/>
        <w:jc w:val="left"/>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br w:type="page"/>
      </w:r>
    </w:p>
    <w:p w14:paraId="5955AD29">
      <w:pPr>
        <w:pStyle w:val="2"/>
        <w:keepNext/>
        <w:jc w:val="center"/>
        <w:rPr>
          <w:rFonts w:hint="eastAsia" w:ascii="仿宋_GB2312" w:hAnsi="仿宋_GB2312" w:eastAsia="仿宋_GB2312" w:cs="仿宋_GB2312"/>
          <w:sz w:val="32"/>
          <w:szCs w:val="21"/>
        </w:rPr>
      </w:pPr>
      <w:r>
        <w:rPr>
          <w:rFonts w:hint="eastAsia" w:ascii="仿宋_GB2312" w:hAnsi="仿宋_GB2312" w:eastAsia="仿宋_GB2312" w:cs="仿宋_GB2312"/>
          <w:sz w:val="32"/>
          <w:szCs w:val="21"/>
        </w:rPr>
        <w:t xml:space="preserve">表 </w:t>
      </w:r>
      <w:r>
        <w:rPr>
          <w:rFonts w:hint="eastAsia" w:ascii="仿宋_GB2312" w:hAnsi="仿宋_GB2312" w:eastAsia="仿宋_GB2312" w:cs="仿宋_GB2312"/>
          <w:sz w:val="32"/>
          <w:szCs w:val="21"/>
        </w:rPr>
        <w:fldChar w:fldCharType="begin"/>
      </w:r>
      <w:r>
        <w:rPr>
          <w:rFonts w:hint="eastAsia" w:ascii="仿宋_GB2312" w:hAnsi="仿宋_GB2312" w:eastAsia="仿宋_GB2312" w:cs="仿宋_GB2312"/>
          <w:sz w:val="32"/>
          <w:szCs w:val="21"/>
        </w:rPr>
        <w:instrText xml:space="preserve"> SEQ 表 \* ARABIC </w:instrText>
      </w:r>
      <w:r>
        <w:rPr>
          <w:rFonts w:hint="eastAsia" w:ascii="仿宋_GB2312" w:hAnsi="仿宋_GB2312" w:eastAsia="仿宋_GB2312" w:cs="仿宋_GB2312"/>
          <w:sz w:val="32"/>
          <w:szCs w:val="21"/>
        </w:rPr>
        <w:fldChar w:fldCharType="separate"/>
      </w:r>
      <w:r>
        <w:rPr>
          <w:rFonts w:hint="eastAsia" w:ascii="仿宋_GB2312" w:hAnsi="仿宋_GB2312" w:eastAsia="仿宋_GB2312" w:cs="仿宋_GB2312"/>
          <w:sz w:val="32"/>
          <w:szCs w:val="21"/>
        </w:rPr>
        <w:t>3</w:t>
      </w:r>
      <w:r>
        <w:rPr>
          <w:rFonts w:hint="eastAsia" w:ascii="仿宋_GB2312" w:hAnsi="仿宋_GB2312" w:eastAsia="仿宋_GB2312" w:cs="仿宋_GB2312"/>
          <w:sz w:val="32"/>
          <w:szCs w:val="21"/>
        </w:rPr>
        <w:fldChar w:fldCharType="end"/>
      </w:r>
      <w:r>
        <w:rPr>
          <w:rFonts w:hint="eastAsia" w:ascii="仿宋_GB2312" w:hAnsi="仿宋_GB2312" w:eastAsia="仿宋_GB2312" w:cs="仿宋_GB2312"/>
          <w:sz w:val="32"/>
          <w:szCs w:val="21"/>
        </w:rPr>
        <w:t xml:space="preserve"> 海滩垃圾清洁状况分级表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4269"/>
      </w:tblGrid>
      <w:tr w14:paraId="1059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tcPr>
          <w:p w14:paraId="30CDFDC7">
            <w:pPr>
              <w:pStyle w:val="19"/>
              <w:widowControl/>
              <w:spacing w:before="0"/>
              <w:ind w:left="0" w:right="0"/>
              <w:jc w:val="center"/>
              <w:rPr>
                <w:rFonts w:ascii="宋体" w:hAnsi="宋体" w:eastAsia="宋体" w:cs="仿宋_GB2312"/>
                <w:color w:val="000000"/>
                <w:sz w:val="28"/>
                <w:szCs w:val="32"/>
              </w:rPr>
            </w:pPr>
            <w:r>
              <w:rPr>
                <w:rFonts w:hint="eastAsia" w:ascii="宋体" w:hAnsi="宋体" w:eastAsia="宋体" w:cs="仿宋_GB2312"/>
                <w:color w:val="000000"/>
                <w:sz w:val="28"/>
                <w:szCs w:val="32"/>
              </w:rPr>
              <w:t>盖度</w:t>
            </w:r>
          </w:p>
        </w:tc>
        <w:tc>
          <w:tcPr>
            <w:tcW w:w="4269" w:type="dxa"/>
          </w:tcPr>
          <w:p w14:paraId="3397FC74">
            <w:pPr>
              <w:pStyle w:val="19"/>
              <w:widowControl/>
              <w:spacing w:before="0"/>
              <w:ind w:left="0" w:right="0"/>
              <w:jc w:val="center"/>
              <w:rPr>
                <w:rFonts w:ascii="宋体" w:hAnsi="宋体" w:eastAsia="宋体" w:cs="仿宋_GB2312"/>
                <w:color w:val="000000"/>
                <w:sz w:val="28"/>
                <w:szCs w:val="32"/>
              </w:rPr>
            </w:pPr>
            <w:r>
              <w:rPr>
                <w:rFonts w:hint="eastAsia" w:ascii="宋体" w:hAnsi="宋体" w:eastAsia="宋体" w:cs="仿宋_GB2312"/>
                <w:color w:val="000000"/>
                <w:sz w:val="28"/>
                <w:szCs w:val="32"/>
              </w:rPr>
              <w:t>分级</w:t>
            </w:r>
          </w:p>
        </w:tc>
      </w:tr>
      <w:tr w14:paraId="2190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tcPr>
          <w:p w14:paraId="20C692E7">
            <w:pPr>
              <w:pStyle w:val="19"/>
              <w:widowControl/>
              <w:spacing w:before="0"/>
              <w:ind w:left="0" w:right="0"/>
              <w:jc w:val="center"/>
              <w:rPr>
                <w:rFonts w:ascii="宋体" w:hAnsi="宋体" w:eastAsia="宋体" w:cs="仿宋_GB2312"/>
                <w:color w:val="000000"/>
                <w:sz w:val="28"/>
                <w:szCs w:val="32"/>
              </w:rPr>
            </w:pPr>
            <w:r>
              <w:rPr>
                <w:rFonts w:eastAsia="宋体"/>
                <w:color w:val="000000"/>
                <w:sz w:val="28"/>
                <w:szCs w:val="32"/>
              </w:rPr>
              <w:t>0.5</w:t>
            </w:r>
            <w:r>
              <w:rPr>
                <w:rFonts w:hint="eastAsia" w:eastAsia="宋体"/>
                <w:color w:val="000000"/>
                <w:sz w:val="28"/>
                <w:szCs w:val="32"/>
              </w:rPr>
              <w:t>‰</w:t>
            </w:r>
            <w:r>
              <w:rPr>
                <w:rFonts w:ascii="宋体" w:hAnsi="宋体" w:eastAsia="宋体" w:cs="仿宋_GB2312"/>
                <w:color w:val="000000"/>
                <w:sz w:val="28"/>
                <w:szCs w:val="32"/>
              </w:rPr>
              <w:t>以下为</w:t>
            </w:r>
          </w:p>
        </w:tc>
        <w:tc>
          <w:tcPr>
            <w:tcW w:w="4269" w:type="dxa"/>
          </w:tcPr>
          <w:p w14:paraId="7B69A1A6">
            <w:pPr>
              <w:pStyle w:val="19"/>
              <w:widowControl/>
              <w:spacing w:before="0"/>
              <w:ind w:left="0" w:right="0"/>
              <w:jc w:val="center"/>
              <w:rPr>
                <w:rFonts w:ascii="宋体" w:hAnsi="宋体" w:eastAsia="宋体" w:cs="仿宋_GB2312"/>
                <w:color w:val="000000"/>
                <w:sz w:val="28"/>
                <w:szCs w:val="32"/>
              </w:rPr>
            </w:pPr>
            <w:r>
              <w:rPr>
                <w:rFonts w:hint="eastAsia" w:ascii="宋体" w:hAnsi="宋体" w:eastAsia="宋体" w:cs="仿宋_GB2312"/>
                <w:color w:val="000000"/>
                <w:sz w:val="28"/>
                <w:szCs w:val="32"/>
              </w:rPr>
              <w:t>清洁</w:t>
            </w:r>
          </w:p>
        </w:tc>
      </w:tr>
      <w:tr w14:paraId="4B8D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tcPr>
          <w:p w14:paraId="534E5686">
            <w:pPr>
              <w:pStyle w:val="19"/>
              <w:widowControl/>
              <w:spacing w:before="0"/>
              <w:ind w:left="0" w:right="0"/>
              <w:jc w:val="center"/>
              <w:rPr>
                <w:rFonts w:ascii="宋体" w:hAnsi="宋体" w:eastAsia="宋体" w:cs="仿宋_GB2312"/>
                <w:color w:val="000000"/>
                <w:sz w:val="28"/>
                <w:szCs w:val="32"/>
              </w:rPr>
            </w:pPr>
            <w:r>
              <w:rPr>
                <w:rFonts w:eastAsia="宋体"/>
                <w:color w:val="000000"/>
                <w:sz w:val="28"/>
                <w:szCs w:val="32"/>
              </w:rPr>
              <w:t>0.5</w:t>
            </w:r>
            <w:r>
              <w:rPr>
                <w:rFonts w:hint="eastAsia" w:eastAsia="宋体"/>
                <w:color w:val="000000"/>
                <w:sz w:val="28"/>
                <w:szCs w:val="32"/>
              </w:rPr>
              <w:t>‰</w:t>
            </w:r>
            <w:r>
              <w:rPr>
                <w:rFonts w:eastAsia="宋体"/>
                <w:color w:val="000000"/>
                <w:sz w:val="28"/>
                <w:szCs w:val="32"/>
              </w:rPr>
              <w:t>-5</w:t>
            </w:r>
            <w:r>
              <w:rPr>
                <w:rFonts w:hint="eastAsia" w:eastAsia="宋体"/>
                <w:color w:val="000000"/>
                <w:sz w:val="28"/>
                <w:szCs w:val="32"/>
              </w:rPr>
              <w:t>‰</w:t>
            </w:r>
          </w:p>
        </w:tc>
        <w:tc>
          <w:tcPr>
            <w:tcW w:w="4269" w:type="dxa"/>
          </w:tcPr>
          <w:p w14:paraId="6D6EED98">
            <w:pPr>
              <w:pStyle w:val="19"/>
              <w:widowControl/>
              <w:spacing w:before="0"/>
              <w:ind w:left="0" w:right="0"/>
              <w:jc w:val="center"/>
              <w:rPr>
                <w:rFonts w:ascii="宋体" w:hAnsi="宋体" w:eastAsia="宋体" w:cs="仿宋_GB2312"/>
                <w:color w:val="000000"/>
                <w:sz w:val="28"/>
                <w:szCs w:val="32"/>
              </w:rPr>
            </w:pPr>
            <w:r>
              <w:rPr>
                <w:rFonts w:hint="eastAsia" w:ascii="宋体" w:hAnsi="宋体" w:eastAsia="宋体" w:cs="仿宋_GB2312"/>
                <w:color w:val="000000"/>
                <w:sz w:val="28"/>
                <w:szCs w:val="32"/>
              </w:rPr>
              <w:t>基本清洁</w:t>
            </w:r>
          </w:p>
        </w:tc>
      </w:tr>
      <w:tr w14:paraId="560D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tcPr>
          <w:p w14:paraId="79C9CDE5">
            <w:pPr>
              <w:pStyle w:val="19"/>
              <w:widowControl/>
              <w:spacing w:before="0"/>
              <w:ind w:left="0" w:right="0"/>
              <w:jc w:val="center"/>
              <w:rPr>
                <w:rFonts w:ascii="宋体" w:hAnsi="宋体" w:eastAsia="宋体" w:cs="仿宋_GB2312"/>
                <w:color w:val="000000"/>
                <w:sz w:val="28"/>
                <w:szCs w:val="32"/>
              </w:rPr>
            </w:pPr>
            <w:r>
              <w:rPr>
                <w:rFonts w:eastAsia="宋体"/>
                <w:color w:val="000000"/>
                <w:sz w:val="28"/>
                <w:szCs w:val="32"/>
              </w:rPr>
              <w:t>5‰</w:t>
            </w:r>
            <w:r>
              <w:rPr>
                <w:rFonts w:ascii="宋体" w:hAnsi="宋体" w:eastAsia="宋体" w:cs="仿宋_GB2312"/>
                <w:color w:val="000000"/>
                <w:sz w:val="28"/>
                <w:szCs w:val="32"/>
              </w:rPr>
              <w:t>以上为</w:t>
            </w:r>
          </w:p>
        </w:tc>
        <w:tc>
          <w:tcPr>
            <w:tcW w:w="4269" w:type="dxa"/>
          </w:tcPr>
          <w:p w14:paraId="4D612BC5">
            <w:pPr>
              <w:pStyle w:val="19"/>
              <w:widowControl/>
              <w:spacing w:before="0"/>
              <w:ind w:left="0" w:right="0"/>
              <w:jc w:val="center"/>
              <w:rPr>
                <w:rFonts w:ascii="宋体" w:hAnsi="宋体" w:eastAsia="宋体" w:cs="仿宋_GB2312"/>
                <w:color w:val="000000"/>
                <w:sz w:val="28"/>
                <w:szCs w:val="32"/>
              </w:rPr>
            </w:pPr>
            <w:r>
              <w:rPr>
                <w:rFonts w:hint="eastAsia" w:ascii="宋体" w:hAnsi="宋体" w:eastAsia="宋体" w:cs="仿宋_GB2312"/>
                <w:color w:val="000000"/>
                <w:sz w:val="28"/>
                <w:szCs w:val="32"/>
              </w:rPr>
              <w:t>清洁</w:t>
            </w:r>
          </w:p>
        </w:tc>
      </w:tr>
    </w:tbl>
    <w:p w14:paraId="646555C5">
      <w:pPr>
        <w:pStyle w:val="19"/>
        <w:widowControl/>
        <w:spacing w:line="360" w:lineRule="auto"/>
        <w:ind w:lef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1.所有评价单元的海洋垃圾盖度均小于0.5‰，判定该海滩为清洁;</w:t>
      </w:r>
    </w:p>
    <w:p w14:paraId="6231791F">
      <w:pPr>
        <w:pStyle w:val="19"/>
        <w:widowControl/>
        <w:spacing w:line="360" w:lineRule="auto"/>
        <w:ind w:lef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2.存在1个及以上评价单元的海洋垃圾盖度处于0.5‰~5‰，且均不大于 5‰，判定该海滩为基本清洁;</w:t>
      </w:r>
    </w:p>
    <w:p w14:paraId="68AEF237">
      <w:pPr>
        <w:pStyle w:val="19"/>
        <w:widowControl/>
        <w:spacing w:before="0" w:line="360" w:lineRule="auto"/>
        <w:ind w:left="0" w:righ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3.存在1个及以上评价单元的海洋垃圾盖度大于5‰，判定该海滩为不清洁。</w:t>
      </w:r>
    </w:p>
    <w:p w14:paraId="0B0589B3">
      <w:pPr>
        <w:pStyle w:val="19"/>
        <w:widowControl/>
        <w:spacing w:before="0"/>
        <w:ind w:left="0" w:righ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3.服务时间</w:t>
      </w:r>
    </w:p>
    <w:p w14:paraId="294DFDFE">
      <w:pPr>
        <w:pStyle w:val="19"/>
        <w:widowControl/>
        <w:spacing w:before="0"/>
        <w:ind w:left="0" w:right="0" w:firstLine="640" w:firstLineChars="200"/>
        <w:rPr>
          <w:rFonts w:hint="eastAsia" w:ascii="仿宋_GB2312" w:hAnsi="仿宋_GB2312" w:eastAsia="仿宋_GB2312" w:cs="仿宋_GB2312"/>
          <w:color w:val="000000"/>
          <w:sz w:val="32"/>
          <w:szCs w:val="36"/>
        </w:rPr>
      </w:pPr>
      <w:r>
        <w:rPr>
          <w:rFonts w:hint="eastAsia" w:ascii="仿宋_GB2312" w:hAnsi="仿宋_GB2312" w:eastAsia="仿宋_GB2312" w:cs="仿宋_GB2312"/>
          <w:color w:val="000000"/>
          <w:sz w:val="32"/>
          <w:szCs w:val="36"/>
        </w:rPr>
        <w:t>计划为2024年11~</w:t>
      </w:r>
      <w:r>
        <w:rPr>
          <w:rFonts w:hint="eastAsia" w:ascii="仿宋_GB2312" w:hAnsi="仿宋_GB2312" w:eastAsia="仿宋_GB2312" w:cs="仿宋_GB2312"/>
          <w:color w:val="000000"/>
          <w:sz w:val="32"/>
          <w:szCs w:val="36"/>
          <w:lang w:val="en-US" w:eastAsia="zh-CN"/>
        </w:rPr>
        <w:t>12</w:t>
      </w:r>
      <w:r>
        <w:rPr>
          <w:rFonts w:hint="eastAsia" w:ascii="仿宋_GB2312" w:hAnsi="仿宋_GB2312" w:eastAsia="仿宋_GB2312" w:cs="仿宋_GB2312"/>
          <w:color w:val="000000"/>
          <w:sz w:val="32"/>
          <w:szCs w:val="36"/>
        </w:rPr>
        <w:t>月，具体以合同约定为准。</w:t>
      </w:r>
      <w:bookmarkStart w:id="2" w:name="_GoBack"/>
      <w:bookmarkEnd w:id="2"/>
    </w:p>
    <w:sectPr>
      <w:pgSz w:w="11906" w:h="16838"/>
      <w:pgMar w:top="1440" w:right="1558"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F1F773-C0B9-4F97-8611-07F33C1E554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embedRegular r:id="rId2" w:fontKey="{56CC358F-70B6-4263-9543-3C220B1B0A41}"/>
  </w:font>
  <w:font w:name="等线 Light">
    <w:altName w:val="宋体"/>
    <w:panose1 w:val="02010600030101010101"/>
    <w:charset w:val="86"/>
    <w:family w:val="auto"/>
    <w:pitch w:val="default"/>
    <w:sig w:usb0="00000000" w:usb1="00000000" w:usb2="00000016" w:usb3="00000000" w:csb0="0004000F" w:csb1="00000000"/>
  </w:font>
  <w:font w:name="Book Antiqua">
    <w:altName w:val="Segoe Print"/>
    <w:panose1 w:val="02040602050305030304"/>
    <w:charset w:val="00"/>
    <w:family w:val="roman"/>
    <w:pitch w:val="default"/>
    <w:sig w:usb0="00000000" w:usb1="00000000" w:usb2="00000000" w:usb3="00000000" w:csb0="2000009F" w:csb1="DFD70000"/>
  </w:font>
  <w:font w:name="方正小标宋简体">
    <w:panose1 w:val="02000000000000000000"/>
    <w:charset w:val="86"/>
    <w:family w:val="script"/>
    <w:pitch w:val="default"/>
    <w:sig w:usb0="A00002BF" w:usb1="184F6CFA" w:usb2="00000012" w:usb3="00000000" w:csb0="00040001" w:csb1="00000000"/>
    <w:embedRegular r:id="rId3" w:fontKey="{9A550985-2878-4879-B163-6C8288C18F7C}"/>
  </w:font>
  <w:font w:name="Verdana">
    <w:panose1 w:val="020B0604030504040204"/>
    <w:charset w:val="00"/>
    <w:family w:val="swiss"/>
    <w:pitch w:val="default"/>
    <w:sig w:usb0="A10006FF" w:usb1="4000205B" w:usb2="00000010" w:usb3="00000000" w:csb0="2000019F" w:csb1="00000000"/>
    <w:embedRegular r:id="rId4" w:fontKey="{5E002676-4BF4-41C7-8970-DCE4190E655E}"/>
  </w:font>
  <w:font w:name="仿宋_GB2312">
    <w:panose1 w:val="02010609030101010101"/>
    <w:charset w:val="86"/>
    <w:family w:val="modern"/>
    <w:pitch w:val="default"/>
    <w:sig w:usb0="00000001" w:usb1="080E0000" w:usb2="00000000" w:usb3="00000000" w:csb0="00040000" w:csb1="00000000"/>
    <w:embedRegular r:id="rId5" w:fontKey="{A2FE3640-E6C1-4616-8217-8BE85FC3646A}"/>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___WRD_EMBED_SUB_43">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embedRegular r:id="rId6" w:fontKey="{3EC1F467-4058-4CC6-8C81-DB096848322C}"/>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MS Mincho">
    <w:panose1 w:val="020206090402050803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revisionView w:markup="0"/>
  <w:documentProtection w:edit="comments"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2MTYyZDc2NTRlNzYxYWEwZGJjNGUyYzVjOTMwNGYifQ=="/>
  </w:docVars>
  <w:rsids>
    <w:rsidRoot w:val="00172A27"/>
    <w:rsid w:val="00003F0C"/>
    <w:rsid w:val="00010EEC"/>
    <w:rsid w:val="00012C2D"/>
    <w:rsid w:val="0001393D"/>
    <w:rsid w:val="0004550F"/>
    <w:rsid w:val="0005069B"/>
    <w:rsid w:val="00054247"/>
    <w:rsid w:val="00061521"/>
    <w:rsid w:val="00063CEB"/>
    <w:rsid w:val="0006641F"/>
    <w:rsid w:val="00072AA4"/>
    <w:rsid w:val="00077FEF"/>
    <w:rsid w:val="00084D36"/>
    <w:rsid w:val="00095B4A"/>
    <w:rsid w:val="000962C7"/>
    <w:rsid w:val="000A6409"/>
    <w:rsid w:val="000B24E7"/>
    <w:rsid w:val="000C3D2F"/>
    <w:rsid w:val="000C78E3"/>
    <w:rsid w:val="000D1809"/>
    <w:rsid w:val="000D25C4"/>
    <w:rsid w:val="000E34F2"/>
    <w:rsid w:val="001005EB"/>
    <w:rsid w:val="00104A95"/>
    <w:rsid w:val="0011618D"/>
    <w:rsid w:val="00137D76"/>
    <w:rsid w:val="00140BB2"/>
    <w:rsid w:val="0015470E"/>
    <w:rsid w:val="00156839"/>
    <w:rsid w:val="00164AC7"/>
    <w:rsid w:val="0016731A"/>
    <w:rsid w:val="00172A27"/>
    <w:rsid w:val="0018050E"/>
    <w:rsid w:val="00194F9A"/>
    <w:rsid w:val="001A7FBE"/>
    <w:rsid w:val="001B1C6D"/>
    <w:rsid w:val="001B3DE1"/>
    <w:rsid w:val="001B774E"/>
    <w:rsid w:val="001D540E"/>
    <w:rsid w:val="001E38A5"/>
    <w:rsid w:val="002013DC"/>
    <w:rsid w:val="0021306B"/>
    <w:rsid w:val="002179B4"/>
    <w:rsid w:val="0022530C"/>
    <w:rsid w:val="0022617F"/>
    <w:rsid w:val="00234085"/>
    <w:rsid w:val="002676B5"/>
    <w:rsid w:val="00271B17"/>
    <w:rsid w:val="00274F9A"/>
    <w:rsid w:val="0027774B"/>
    <w:rsid w:val="00293F45"/>
    <w:rsid w:val="002970D4"/>
    <w:rsid w:val="002A3C5B"/>
    <w:rsid w:val="002A417A"/>
    <w:rsid w:val="002A55C5"/>
    <w:rsid w:val="002A64FD"/>
    <w:rsid w:val="002B1AFC"/>
    <w:rsid w:val="002B4927"/>
    <w:rsid w:val="002C490A"/>
    <w:rsid w:val="002C4F36"/>
    <w:rsid w:val="002C6C60"/>
    <w:rsid w:val="002D12AD"/>
    <w:rsid w:val="002D5863"/>
    <w:rsid w:val="002F2AFE"/>
    <w:rsid w:val="002F43DF"/>
    <w:rsid w:val="00300A76"/>
    <w:rsid w:val="00303CF3"/>
    <w:rsid w:val="003116F6"/>
    <w:rsid w:val="00316BBB"/>
    <w:rsid w:val="003246CD"/>
    <w:rsid w:val="00332092"/>
    <w:rsid w:val="0033260D"/>
    <w:rsid w:val="00340D4A"/>
    <w:rsid w:val="00353D20"/>
    <w:rsid w:val="0035538E"/>
    <w:rsid w:val="00357535"/>
    <w:rsid w:val="003704F8"/>
    <w:rsid w:val="003737AA"/>
    <w:rsid w:val="00373AC3"/>
    <w:rsid w:val="00375D95"/>
    <w:rsid w:val="0037729B"/>
    <w:rsid w:val="0039043E"/>
    <w:rsid w:val="00392879"/>
    <w:rsid w:val="00394817"/>
    <w:rsid w:val="003A5971"/>
    <w:rsid w:val="003B0728"/>
    <w:rsid w:val="003B2240"/>
    <w:rsid w:val="003F714B"/>
    <w:rsid w:val="004036FE"/>
    <w:rsid w:val="0041233C"/>
    <w:rsid w:val="00421894"/>
    <w:rsid w:val="00422585"/>
    <w:rsid w:val="00427FF5"/>
    <w:rsid w:val="004335B0"/>
    <w:rsid w:val="0043386D"/>
    <w:rsid w:val="00434767"/>
    <w:rsid w:val="00436842"/>
    <w:rsid w:val="0044767E"/>
    <w:rsid w:val="004542DC"/>
    <w:rsid w:val="00465106"/>
    <w:rsid w:val="00466182"/>
    <w:rsid w:val="004705BE"/>
    <w:rsid w:val="00472645"/>
    <w:rsid w:val="0047698A"/>
    <w:rsid w:val="00483856"/>
    <w:rsid w:val="00485307"/>
    <w:rsid w:val="00485A96"/>
    <w:rsid w:val="0049360B"/>
    <w:rsid w:val="004A223A"/>
    <w:rsid w:val="004A46BE"/>
    <w:rsid w:val="004B0078"/>
    <w:rsid w:val="004B214F"/>
    <w:rsid w:val="004E3716"/>
    <w:rsid w:val="004E4562"/>
    <w:rsid w:val="004E6BE1"/>
    <w:rsid w:val="005022A1"/>
    <w:rsid w:val="00527997"/>
    <w:rsid w:val="005470EB"/>
    <w:rsid w:val="005568C1"/>
    <w:rsid w:val="005708B1"/>
    <w:rsid w:val="00570BBC"/>
    <w:rsid w:val="005900AC"/>
    <w:rsid w:val="00590C06"/>
    <w:rsid w:val="00591B04"/>
    <w:rsid w:val="0059349F"/>
    <w:rsid w:val="005A4B12"/>
    <w:rsid w:val="005B2643"/>
    <w:rsid w:val="005C0913"/>
    <w:rsid w:val="005C29AF"/>
    <w:rsid w:val="005C31AC"/>
    <w:rsid w:val="005C4C93"/>
    <w:rsid w:val="005D639E"/>
    <w:rsid w:val="00600006"/>
    <w:rsid w:val="00600A3E"/>
    <w:rsid w:val="0060619A"/>
    <w:rsid w:val="00615511"/>
    <w:rsid w:val="00617B7E"/>
    <w:rsid w:val="00624793"/>
    <w:rsid w:val="00625F1C"/>
    <w:rsid w:val="006310E7"/>
    <w:rsid w:val="00632912"/>
    <w:rsid w:val="00634FFC"/>
    <w:rsid w:val="0066019B"/>
    <w:rsid w:val="0066183C"/>
    <w:rsid w:val="00671165"/>
    <w:rsid w:val="00677A03"/>
    <w:rsid w:val="00677CA4"/>
    <w:rsid w:val="00683EDC"/>
    <w:rsid w:val="00691A9D"/>
    <w:rsid w:val="006A3CE2"/>
    <w:rsid w:val="006B5ED8"/>
    <w:rsid w:val="006D5ACD"/>
    <w:rsid w:val="006D5E5B"/>
    <w:rsid w:val="006D7A23"/>
    <w:rsid w:val="006E6629"/>
    <w:rsid w:val="006E6EE8"/>
    <w:rsid w:val="00703CCA"/>
    <w:rsid w:val="00704C58"/>
    <w:rsid w:val="00705373"/>
    <w:rsid w:val="00712F0A"/>
    <w:rsid w:val="0071408E"/>
    <w:rsid w:val="00721687"/>
    <w:rsid w:val="007409AA"/>
    <w:rsid w:val="00740A62"/>
    <w:rsid w:val="007456A8"/>
    <w:rsid w:val="0075782F"/>
    <w:rsid w:val="00760D38"/>
    <w:rsid w:val="007665BF"/>
    <w:rsid w:val="007808BB"/>
    <w:rsid w:val="00796D7E"/>
    <w:rsid w:val="007A1FD8"/>
    <w:rsid w:val="007A241D"/>
    <w:rsid w:val="007A561A"/>
    <w:rsid w:val="007A6A5F"/>
    <w:rsid w:val="007B1B48"/>
    <w:rsid w:val="007C7B22"/>
    <w:rsid w:val="007E5294"/>
    <w:rsid w:val="007F260A"/>
    <w:rsid w:val="007F380E"/>
    <w:rsid w:val="007F56F3"/>
    <w:rsid w:val="00800BFC"/>
    <w:rsid w:val="0083242C"/>
    <w:rsid w:val="00834709"/>
    <w:rsid w:val="008360CF"/>
    <w:rsid w:val="008540DF"/>
    <w:rsid w:val="008551B2"/>
    <w:rsid w:val="00862A1B"/>
    <w:rsid w:val="00862B9F"/>
    <w:rsid w:val="0086367B"/>
    <w:rsid w:val="00872725"/>
    <w:rsid w:val="00872B73"/>
    <w:rsid w:val="008B210D"/>
    <w:rsid w:val="008B2A7F"/>
    <w:rsid w:val="008B53B5"/>
    <w:rsid w:val="008C6B28"/>
    <w:rsid w:val="008D15B0"/>
    <w:rsid w:val="008D4EB3"/>
    <w:rsid w:val="008F749E"/>
    <w:rsid w:val="00902307"/>
    <w:rsid w:val="009112F1"/>
    <w:rsid w:val="009115A1"/>
    <w:rsid w:val="00915B93"/>
    <w:rsid w:val="00920B93"/>
    <w:rsid w:val="00930BFB"/>
    <w:rsid w:val="00941F33"/>
    <w:rsid w:val="0094373F"/>
    <w:rsid w:val="009459C6"/>
    <w:rsid w:val="00950087"/>
    <w:rsid w:val="00954B37"/>
    <w:rsid w:val="00955AC9"/>
    <w:rsid w:val="00964931"/>
    <w:rsid w:val="0097484C"/>
    <w:rsid w:val="00976882"/>
    <w:rsid w:val="0098688B"/>
    <w:rsid w:val="0099302D"/>
    <w:rsid w:val="009B0D35"/>
    <w:rsid w:val="009B334B"/>
    <w:rsid w:val="009C072D"/>
    <w:rsid w:val="009E5B72"/>
    <w:rsid w:val="009E6312"/>
    <w:rsid w:val="009F100A"/>
    <w:rsid w:val="00A02669"/>
    <w:rsid w:val="00A04478"/>
    <w:rsid w:val="00A11FB0"/>
    <w:rsid w:val="00A24F13"/>
    <w:rsid w:val="00A43B7D"/>
    <w:rsid w:val="00A443A3"/>
    <w:rsid w:val="00A524F2"/>
    <w:rsid w:val="00A757D6"/>
    <w:rsid w:val="00A75A8D"/>
    <w:rsid w:val="00A8365D"/>
    <w:rsid w:val="00AB335E"/>
    <w:rsid w:val="00AC2C11"/>
    <w:rsid w:val="00B03741"/>
    <w:rsid w:val="00B03AC2"/>
    <w:rsid w:val="00B04488"/>
    <w:rsid w:val="00B2052C"/>
    <w:rsid w:val="00B34D8B"/>
    <w:rsid w:val="00B36E0C"/>
    <w:rsid w:val="00B47526"/>
    <w:rsid w:val="00B53432"/>
    <w:rsid w:val="00B561AE"/>
    <w:rsid w:val="00B62B77"/>
    <w:rsid w:val="00B85DAF"/>
    <w:rsid w:val="00B85EB5"/>
    <w:rsid w:val="00B93F71"/>
    <w:rsid w:val="00B95997"/>
    <w:rsid w:val="00BB765C"/>
    <w:rsid w:val="00BC2EBE"/>
    <w:rsid w:val="00BC6E26"/>
    <w:rsid w:val="00BD3FC2"/>
    <w:rsid w:val="00BD7702"/>
    <w:rsid w:val="00BE2A6F"/>
    <w:rsid w:val="00BE2D9B"/>
    <w:rsid w:val="00BE5439"/>
    <w:rsid w:val="00BE5538"/>
    <w:rsid w:val="00BE56F7"/>
    <w:rsid w:val="00BE7E19"/>
    <w:rsid w:val="00BF25BC"/>
    <w:rsid w:val="00BF78A7"/>
    <w:rsid w:val="00C452B4"/>
    <w:rsid w:val="00C545D5"/>
    <w:rsid w:val="00C63CAA"/>
    <w:rsid w:val="00C664F5"/>
    <w:rsid w:val="00C82EF5"/>
    <w:rsid w:val="00CC0C7D"/>
    <w:rsid w:val="00CC4F2E"/>
    <w:rsid w:val="00CD11FD"/>
    <w:rsid w:val="00CE6E35"/>
    <w:rsid w:val="00CF2C3A"/>
    <w:rsid w:val="00CF43D8"/>
    <w:rsid w:val="00D0017C"/>
    <w:rsid w:val="00D00B3B"/>
    <w:rsid w:val="00D166AC"/>
    <w:rsid w:val="00D270D5"/>
    <w:rsid w:val="00D276F0"/>
    <w:rsid w:val="00D348FB"/>
    <w:rsid w:val="00D52C0E"/>
    <w:rsid w:val="00D54E25"/>
    <w:rsid w:val="00D56321"/>
    <w:rsid w:val="00D63B74"/>
    <w:rsid w:val="00D67977"/>
    <w:rsid w:val="00D7226D"/>
    <w:rsid w:val="00D73E59"/>
    <w:rsid w:val="00D76A27"/>
    <w:rsid w:val="00D77EB5"/>
    <w:rsid w:val="00D8641F"/>
    <w:rsid w:val="00DA1593"/>
    <w:rsid w:val="00DA54C2"/>
    <w:rsid w:val="00DB1CC9"/>
    <w:rsid w:val="00DB3F3F"/>
    <w:rsid w:val="00DB7988"/>
    <w:rsid w:val="00DC131D"/>
    <w:rsid w:val="00DD76B5"/>
    <w:rsid w:val="00DE5001"/>
    <w:rsid w:val="00DF215E"/>
    <w:rsid w:val="00DF76ED"/>
    <w:rsid w:val="00E06F5C"/>
    <w:rsid w:val="00E10E22"/>
    <w:rsid w:val="00E229E4"/>
    <w:rsid w:val="00E24F42"/>
    <w:rsid w:val="00E43611"/>
    <w:rsid w:val="00E4407D"/>
    <w:rsid w:val="00E46405"/>
    <w:rsid w:val="00E643D0"/>
    <w:rsid w:val="00E73BF6"/>
    <w:rsid w:val="00E8060E"/>
    <w:rsid w:val="00E83E59"/>
    <w:rsid w:val="00E90507"/>
    <w:rsid w:val="00E90F72"/>
    <w:rsid w:val="00E91877"/>
    <w:rsid w:val="00EA734A"/>
    <w:rsid w:val="00EB04E4"/>
    <w:rsid w:val="00EB15FD"/>
    <w:rsid w:val="00EC20E9"/>
    <w:rsid w:val="00EC2FBA"/>
    <w:rsid w:val="00EE2802"/>
    <w:rsid w:val="00EE7651"/>
    <w:rsid w:val="00F11124"/>
    <w:rsid w:val="00F556EE"/>
    <w:rsid w:val="00F6136D"/>
    <w:rsid w:val="00F7442D"/>
    <w:rsid w:val="00F76BE3"/>
    <w:rsid w:val="00F8231C"/>
    <w:rsid w:val="00FA1E59"/>
    <w:rsid w:val="00FA7FA2"/>
    <w:rsid w:val="00FB3717"/>
    <w:rsid w:val="00FB3988"/>
    <w:rsid w:val="00FB4E58"/>
    <w:rsid w:val="00FC0F19"/>
    <w:rsid w:val="00FD2ABB"/>
    <w:rsid w:val="00FE132E"/>
    <w:rsid w:val="012B3F75"/>
    <w:rsid w:val="01B11E85"/>
    <w:rsid w:val="02672AE5"/>
    <w:rsid w:val="05151649"/>
    <w:rsid w:val="05420531"/>
    <w:rsid w:val="07C86D9E"/>
    <w:rsid w:val="07C947FC"/>
    <w:rsid w:val="085103BC"/>
    <w:rsid w:val="085F4C62"/>
    <w:rsid w:val="08E97258"/>
    <w:rsid w:val="095E53D2"/>
    <w:rsid w:val="0B007777"/>
    <w:rsid w:val="0BEA1142"/>
    <w:rsid w:val="0C1C617D"/>
    <w:rsid w:val="0D420303"/>
    <w:rsid w:val="0D5350E9"/>
    <w:rsid w:val="0EB8314E"/>
    <w:rsid w:val="0EF6174A"/>
    <w:rsid w:val="0F3725F7"/>
    <w:rsid w:val="101F47DF"/>
    <w:rsid w:val="10D26AA4"/>
    <w:rsid w:val="11D72836"/>
    <w:rsid w:val="13385E98"/>
    <w:rsid w:val="13937378"/>
    <w:rsid w:val="13F028F1"/>
    <w:rsid w:val="13FD0A3D"/>
    <w:rsid w:val="146F3A9F"/>
    <w:rsid w:val="15013E0D"/>
    <w:rsid w:val="15AE4858"/>
    <w:rsid w:val="16943357"/>
    <w:rsid w:val="16CE29FD"/>
    <w:rsid w:val="17260C4D"/>
    <w:rsid w:val="18110861"/>
    <w:rsid w:val="194E3C2F"/>
    <w:rsid w:val="1B9958DD"/>
    <w:rsid w:val="1D4008E7"/>
    <w:rsid w:val="1D6327E7"/>
    <w:rsid w:val="1D9626C2"/>
    <w:rsid w:val="1DE920BD"/>
    <w:rsid w:val="1E1D3A35"/>
    <w:rsid w:val="1EDA1ACC"/>
    <w:rsid w:val="1F071EB0"/>
    <w:rsid w:val="1FBB129C"/>
    <w:rsid w:val="203D2186"/>
    <w:rsid w:val="213B694A"/>
    <w:rsid w:val="21BD63E6"/>
    <w:rsid w:val="22E50019"/>
    <w:rsid w:val="23965EB3"/>
    <w:rsid w:val="23A0028A"/>
    <w:rsid w:val="246126A3"/>
    <w:rsid w:val="24644674"/>
    <w:rsid w:val="25F82EF6"/>
    <w:rsid w:val="26FD6206"/>
    <w:rsid w:val="27863B9B"/>
    <w:rsid w:val="28C25DCD"/>
    <w:rsid w:val="292714BF"/>
    <w:rsid w:val="29746395"/>
    <w:rsid w:val="2C29334B"/>
    <w:rsid w:val="2CA80CB5"/>
    <w:rsid w:val="2CE93DEF"/>
    <w:rsid w:val="2D285812"/>
    <w:rsid w:val="2D8F7CE8"/>
    <w:rsid w:val="2E624D33"/>
    <w:rsid w:val="2F7A205A"/>
    <w:rsid w:val="322D7B5F"/>
    <w:rsid w:val="32FC53DB"/>
    <w:rsid w:val="33BC280F"/>
    <w:rsid w:val="33CD4FD8"/>
    <w:rsid w:val="36133EB8"/>
    <w:rsid w:val="38044277"/>
    <w:rsid w:val="39A44E6F"/>
    <w:rsid w:val="3BA254AF"/>
    <w:rsid w:val="3C3A2745"/>
    <w:rsid w:val="3C493F63"/>
    <w:rsid w:val="3C553DC5"/>
    <w:rsid w:val="3D3D76CE"/>
    <w:rsid w:val="3F0B3D8C"/>
    <w:rsid w:val="3F4D63D1"/>
    <w:rsid w:val="3FB2330F"/>
    <w:rsid w:val="3FC1272D"/>
    <w:rsid w:val="3FD7A893"/>
    <w:rsid w:val="40A47F47"/>
    <w:rsid w:val="40AB3DF6"/>
    <w:rsid w:val="4203262B"/>
    <w:rsid w:val="42F70554"/>
    <w:rsid w:val="4426495C"/>
    <w:rsid w:val="44840B30"/>
    <w:rsid w:val="452C3A09"/>
    <w:rsid w:val="45CE469B"/>
    <w:rsid w:val="469F39EB"/>
    <w:rsid w:val="46A50EDC"/>
    <w:rsid w:val="4A613D4E"/>
    <w:rsid w:val="4A9C2AEC"/>
    <w:rsid w:val="4B203BDA"/>
    <w:rsid w:val="4B9631BC"/>
    <w:rsid w:val="4C0E33C2"/>
    <w:rsid w:val="4C496D99"/>
    <w:rsid w:val="4C9D3ADF"/>
    <w:rsid w:val="4D490E5C"/>
    <w:rsid w:val="4D5C53F9"/>
    <w:rsid w:val="4E1C33E5"/>
    <w:rsid w:val="4E48184B"/>
    <w:rsid w:val="4E911651"/>
    <w:rsid w:val="4ED347B4"/>
    <w:rsid w:val="4F4B17C3"/>
    <w:rsid w:val="4F9B18DC"/>
    <w:rsid w:val="4FE51363"/>
    <w:rsid w:val="4FFE14C1"/>
    <w:rsid w:val="51860BBC"/>
    <w:rsid w:val="525A20A2"/>
    <w:rsid w:val="538F1388"/>
    <w:rsid w:val="54DC183C"/>
    <w:rsid w:val="596F2552"/>
    <w:rsid w:val="59B14940"/>
    <w:rsid w:val="5A04406D"/>
    <w:rsid w:val="5A5D2F05"/>
    <w:rsid w:val="5B7D5580"/>
    <w:rsid w:val="5B9E1C63"/>
    <w:rsid w:val="5C231961"/>
    <w:rsid w:val="5C775E18"/>
    <w:rsid w:val="5D5D7103"/>
    <w:rsid w:val="5EDB8C7C"/>
    <w:rsid w:val="5F405073"/>
    <w:rsid w:val="5F7E77B6"/>
    <w:rsid w:val="607F3488"/>
    <w:rsid w:val="60F84D16"/>
    <w:rsid w:val="618C7BCA"/>
    <w:rsid w:val="61EF5562"/>
    <w:rsid w:val="63542CD4"/>
    <w:rsid w:val="63C80E33"/>
    <w:rsid w:val="65BC4767"/>
    <w:rsid w:val="66F96826"/>
    <w:rsid w:val="68C632BE"/>
    <w:rsid w:val="698227EA"/>
    <w:rsid w:val="6ABE3FB1"/>
    <w:rsid w:val="6B624DDD"/>
    <w:rsid w:val="6BB94728"/>
    <w:rsid w:val="6D665BAC"/>
    <w:rsid w:val="6DF62AD5"/>
    <w:rsid w:val="6DFB42FF"/>
    <w:rsid w:val="6E2118E2"/>
    <w:rsid w:val="6F4D359A"/>
    <w:rsid w:val="6F9840A9"/>
    <w:rsid w:val="6FF46412"/>
    <w:rsid w:val="700A4998"/>
    <w:rsid w:val="700E4C34"/>
    <w:rsid w:val="7165401C"/>
    <w:rsid w:val="71804C94"/>
    <w:rsid w:val="71B72A2A"/>
    <w:rsid w:val="71EF7568"/>
    <w:rsid w:val="71F33281"/>
    <w:rsid w:val="720E6953"/>
    <w:rsid w:val="728026D4"/>
    <w:rsid w:val="729B29A5"/>
    <w:rsid w:val="72A84839"/>
    <w:rsid w:val="72E57C3F"/>
    <w:rsid w:val="74796543"/>
    <w:rsid w:val="75737246"/>
    <w:rsid w:val="75E27211"/>
    <w:rsid w:val="76554B23"/>
    <w:rsid w:val="7685489C"/>
    <w:rsid w:val="778F6E2C"/>
    <w:rsid w:val="779E0CE8"/>
    <w:rsid w:val="77BC0DDB"/>
    <w:rsid w:val="77C1631E"/>
    <w:rsid w:val="77FFE586"/>
    <w:rsid w:val="78C7488D"/>
    <w:rsid w:val="794D13EC"/>
    <w:rsid w:val="7A7B4333"/>
    <w:rsid w:val="7A803D38"/>
    <w:rsid w:val="7C44364A"/>
    <w:rsid w:val="7CF36369"/>
    <w:rsid w:val="7DDE0265"/>
    <w:rsid w:val="7DEE2E02"/>
    <w:rsid w:val="7E2E348F"/>
    <w:rsid w:val="7EDE0BE4"/>
    <w:rsid w:val="7EE35D8C"/>
    <w:rsid w:val="7FFFB718"/>
    <w:rsid w:val="C7779DE4"/>
    <w:rsid w:val="C7FB8D55"/>
    <w:rsid w:val="CBBBA8D9"/>
    <w:rsid w:val="D9AFAC6C"/>
    <w:rsid w:val="DFF7866F"/>
    <w:rsid w:val="E57B63EC"/>
    <w:rsid w:val="EBA9DCCB"/>
    <w:rsid w:val="FA95C068"/>
    <w:rsid w:val="FC7BE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ascii="等线 Light" w:hAnsi="等线 Light" w:eastAsia="黑体"/>
      <w:sz w:val="20"/>
      <w:szCs w:val="20"/>
    </w:rPr>
  </w:style>
  <w:style w:type="paragraph" w:styleId="3">
    <w:name w:val="annotation text"/>
    <w:basedOn w:val="1"/>
    <w:link w:val="24"/>
    <w:unhideWhenUsed/>
    <w:qFormat/>
    <w:uiPriority w:val="99"/>
    <w:pPr>
      <w:jc w:val="left"/>
    </w:pPr>
  </w:style>
  <w:style w:type="paragraph" w:styleId="4">
    <w:name w:val="Balloon Text"/>
    <w:basedOn w:val="1"/>
    <w:link w:val="16"/>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kern w:val="0"/>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unhideWhenUsed/>
    <w:qFormat/>
    <w:uiPriority w:val="99"/>
    <w:pPr>
      <w:spacing w:before="100" w:beforeAutospacing="1" w:after="100" w:afterAutospacing="1"/>
      <w:jc w:val="left"/>
    </w:pPr>
    <w:rPr>
      <w:kern w:val="0"/>
      <w:sz w:val="24"/>
    </w:rPr>
  </w:style>
  <w:style w:type="paragraph" w:styleId="8">
    <w:name w:val="annotation subject"/>
    <w:basedOn w:val="3"/>
    <w:next w:val="3"/>
    <w:link w:val="25"/>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Emphasis"/>
    <w:qFormat/>
    <w:uiPriority w:val="0"/>
    <w:rPr>
      <w:i/>
      <w:iCs/>
    </w:rPr>
  </w:style>
  <w:style w:type="character" w:styleId="14">
    <w:name w:val="Hyperlink"/>
    <w:unhideWhenUsed/>
    <w:qFormat/>
    <w:uiPriority w:val="99"/>
    <w:rPr>
      <w:color w:val="0000FF"/>
      <w:u w:val="single"/>
    </w:rPr>
  </w:style>
  <w:style w:type="character" w:styleId="15">
    <w:name w:val="annotation reference"/>
    <w:basedOn w:val="11"/>
    <w:semiHidden/>
    <w:unhideWhenUsed/>
    <w:qFormat/>
    <w:uiPriority w:val="99"/>
    <w:rPr>
      <w:sz w:val="21"/>
      <w:szCs w:val="21"/>
    </w:rPr>
  </w:style>
  <w:style w:type="character" w:customStyle="1" w:styleId="16">
    <w:name w:val="批注框文本 字符"/>
    <w:link w:val="4"/>
    <w:semiHidden/>
    <w:qFormat/>
    <w:uiPriority w:val="99"/>
    <w:rPr>
      <w:kern w:val="2"/>
      <w:sz w:val="18"/>
      <w:szCs w:val="18"/>
    </w:rPr>
  </w:style>
  <w:style w:type="character" w:customStyle="1" w:styleId="17">
    <w:name w:val="页脚 字符"/>
    <w:link w:val="5"/>
    <w:qFormat/>
    <w:uiPriority w:val="99"/>
    <w:rPr>
      <w:sz w:val="18"/>
      <w:szCs w:val="18"/>
    </w:rPr>
  </w:style>
  <w:style w:type="character" w:customStyle="1" w:styleId="18">
    <w:name w:val="页眉 字符"/>
    <w:link w:val="6"/>
    <w:qFormat/>
    <w:uiPriority w:val="99"/>
    <w:rPr>
      <w:sz w:val="18"/>
      <w:szCs w:val="18"/>
    </w:rPr>
  </w:style>
  <w:style w:type="paragraph" w:customStyle="1" w:styleId="19">
    <w:name w:val="narrat style"/>
    <w:basedOn w:val="20"/>
    <w:qFormat/>
    <w:uiPriority w:val="0"/>
    <w:pPr>
      <w:spacing w:before="120"/>
      <w:ind w:left="720" w:right="86"/>
    </w:pPr>
    <w:rPr>
      <w:rFonts w:ascii="Times New Roman" w:hAnsi="Times New Roman"/>
      <w:b w:val="0"/>
      <w:sz w:val="20"/>
    </w:rPr>
  </w:style>
  <w:style w:type="paragraph" w:customStyle="1" w:styleId="20">
    <w:name w:val="Section Heading"/>
    <w:basedOn w:val="1"/>
    <w:qFormat/>
    <w:uiPriority w:val="0"/>
    <w:rPr>
      <w:rFonts w:ascii="Book Antiqua" w:hAnsi="Book Antiqua"/>
      <w:b/>
      <w:sz w:val="24"/>
    </w:rPr>
  </w:style>
  <w:style w:type="paragraph" w:styleId="21">
    <w:name w:val="List Paragraph"/>
    <w:basedOn w:val="1"/>
    <w:qFormat/>
    <w:uiPriority w:val="34"/>
    <w:pPr>
      <w:ind w:firstLine="420" w:firstLineChars="200"/>
    </w:pPr>
  </w:style>
  <w:style w:type="character" w:styleId="22">
    <w:name w:val="Placeholder Text"/>
    <w:basedOn w:val="11"/>
    <w:unhideWhenUsed/>
    <w:qFormat/>
    <w:uiPriority w:val="99"/>
    <w:rPr>
      <w:color w:val="808080"/>
    </w:rPr>
  </w:style>
  <w:style w:type="paragraph" w:customStyle="1" w:styleId="23">
    <w:name w:val="Revision"/>
    <w:hidden/>
    <w:unhideWhenUsed/>
    <w:qFormat/>
    <w:uiPriority w:val="99"/>
    <w:rPr>
      <w:rFonts w:ascii="等线" w:hAnsi="等线" w:eastAsia="等线" w:cs="Times New Roman"/>
      <w:kern w:val="2"/>
      <w:sz w:val="21"/>
      <w:szCs w:val="22"/>
      <w:lang w:val="en-US" w:eastAsia="zh-CN" w:bidi="ar-SA"/>
    </w:rPr>
  </w:style>
  <w:style w:type="character" w:customStyle="1" w:styleId="24">
    <w:name w:val="批注文字 字符"/>
    <w:basedOn w:val="11"/>
    <w:link w:val="3"/>
    <w:qFormat/>
    <w:uiPriority w:val="99"/>
    <w:rPr>
      <w:kern w:val="2"/>
      <w:sz w:val="21"/>
      <w:szCs w:val="22"/>
    </w:rPr>
  </w:style>
  <w:style w:type="character" w:customStyle="1" w:styleId="25">
    <w:name w:val="批注主题 字符"/>
    <w:basedOn w:val="24"/>
    <w:link w:val="8"/>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8</Pages>
  <Words>1605</Words>
  <Characters>1718</Characters>
  <Lines>23</Lines>
  <Paragraphs>6</Paragraphs>
  <TotalTime>7</TotalTime>
  <ScaleCrop>false</ScaleCrop>
  <LinksUpToDate>false</LinksUpToDate>
  <CharactersWithSpaces>1766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2024-10-18T15:27:00Z</dcterms:created>
  <dc:creator>chenmy</dc:creator>
  <cp:lastModifiedBy>梁洁余</cp:lastModifiedBy>
  <dcterms:modified xsi:type="dcterms:W3CDTF">2024-11-04T02:39:17Z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9D1EC16C3F6F433DAA084E33DB8447E9_13</vt:lpwstr>
  </property>
</Properties>
</file>