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CellSpacing w:w="0" w:type="dxa"/>
        <w:shd w:val="clear" w:color="auto" w:fill="auto"/>
        <w:tblLayout w:type="autofit"/>
        <w:tblCellMar>
          <w:top w:w="0" w:type="dxa"/>
          <w:left w:w="0" w:type="dxa"/>
          <w:bottom w:w="0" w:type="dxa"/>
          <w:right w:w="0" w:type="dxa"/>
        </w:tblCellMar>
      </w:tblPr>
      <w:tblGrid>
        <w:gridCol w:w="13958"/>
      </w:tblGrid>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tbl>
            <w:tblPr>
              <w:tblStyle w:val="3"/>
              <w:tblW w:w="5000" w:type="pct"/>
              <w:jc w:val="center"/>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1"/>
              <w:gridCol w:w="4070"/>
              <w:gridCol w:w="1910"/>
              <w:gridCol w:w="1434"/>
              <w:gridCol w:w="1434"/>
              <w:gridCol w:w="1910"/>
              <w:gridCol w:w="2029"/>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行政处罚决定文书号 :</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穗环法罚【2020】1号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法人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罚款</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违法事实:</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经局执法监察支队2019年4月9日、15日调查显示，该公司在未依法报批建设项目环境影响报告表的情况下，于2017年10月擅自建成1间注塑车间（设有6台注塑机等生产设备）并投入生产使用。</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处罚依据:</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中华人民共和国环境影响评价法》：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 《中华人民共和国环境影响评价法》第三十一条第一款</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处罚内容:</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详见处罚决定文书</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行政相对人名称:</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restart"/>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行政相对人代码:</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统一社会信用代码</w:t>
                  </w: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组织机构代码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工商登记码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税务登记号</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事业单位证书号</w:t>
                  </w:r>
                </w:p>
              </w:tc>
              <w:tc>
                <w:tcPr>
                  <w:tcW w:w="112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社会组织登记证号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right"/>
                    <w:rPr>
                      <w:rFonts w:hint="eastAsia" w:ascii="宋体"/>
                      <w:color w:val="102401"/>
                      <w:sz w:val="18"/>
                      <w:szCs w:val="18"/>
                    </w:rPr>
                  </w:pP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ascii="宋体" w:hAnsi="宋体" w:eastAsia="宋体" w:cs="宋体"/>
                      <w:color w:val="102401"/>
                      <w:kern w:val="0"/>
                      <w:sz w:val="18"/>
                      <w:szCs w:val="18"/>
                      <w:lang w:val="en-US" w:eastAsia="zh-CN" w:bidi="ar"/>
                    </w:rPr>
                    <w:t>914401156187043330</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90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法人代表姓名: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陈伟聪</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法定代表人证件号码: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ascii="宋体" w:hAnsi="宋体" w:eastAsia="宋体" w:cs="宋体"/>
                      <w:color w:val="102401"/>
                      <w:kern w:val="0"/>
                      <w:sz w:val="18"/>
                      <w:szCs w:val="18"/>
                      <w:lang w:val="en-US" w:eastAsia="zh-CN" w:bidi="ar"/>
                    </w:rPr>
                    <w:t>914401156187043330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证件类型: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违法行为类型: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 xml:space="preserve">《中华人民共和国环境影响评价法》：建设项目的环境影响评价文件经批准后，建设项目的性质、规模、地点、采用的生产工艺或者防治污染、防止生态破坏的措施发生重大变动的，建设单位应当重新报批建设项目的环境影响评价文件。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 </w:t>
                  </w:r>
                  <w:bookmarkStart w:id="0" w:name="_GoBack"/>
                  <w:bookmarkEnd w:id="0"/>
                  <w:r>
                    <w:rPr>
                      <w:rFonts w:hint="eastAsia" w:ascii="宋体" w:hAnsi="宋体" w:eastAsia="宋体" w:cs="宋体"/>
                      <w:color w:val="000000"/>
                      <w:kern w:val="0"/>
                      <w:sz w:val="18"/>
                      <w:szCs w:val="18"/>
                      <w:lang w:val="en-US" w:eastAsia="zh-CN" w:bidi="ar"/>
                    </w:rPr>
                    <w:t xml:space="preserve"> 《中华人民共和国环境影响评价法》第二十二条第一款，第二十四条</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罚款金额（万元）: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16.8</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没收违法所得、没收非法财物的金额（万元）: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暂扣或吊销证照名称及编号:</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处罚决定日期: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2020/05/18</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处罚有效期: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公示截止期: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处罚机关:</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处罚机关统一社会信用代码: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数据来源单位: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数据来源单位统一社会信用代码: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备注:</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w:t>
                  </w:r>
                </w:p>
              </w:tc>
            </w:tr>
          </w:tbl>
          <w:p>
            <w:pPr>
              <w:jc w:val="center"/>
              <w:rPr>
                <w:rFonts w:ascii="微软雅黑" w:hAnsi="微软雅黑" w:eastAsia="微软雅黑" w:cs="微软雅黑"/>
                <w:i w:val="0"/>
                <w:caps w:val="0"/>
                <w:color w:val="000000"/>
                <w:spacing w:val="0"/>
                <w:sz w:val="27"/>
                <w:szCs w:val="27"/>
              </w:rPr>
            </w:pPr>
          </w:p>
        </w:tc>
      </w:tr>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Style w:val="5"/>
                <w:rFonts w:hint="eastAsia" w:ascii="微软雅黑" w:hAnsi="微软雅黑" w:eastAsia="微软雅黑" w:cs="微软雅黑"/>
                <w:i w:val="0"/>
                <w:caps w:val="0"/>
                <w:color w:val="000000"/>
                <w:spacing w:val="0"/>
                <w:kern w:val="0"/>
                <w:sz w:val="32"/>
                <w:szCs w:val="32"/>
                <w:lang w:val="en-US" w:eastAsia="zh-CN" w:bidi="ar"/>
              </w:rPr>
              <w:t>全文信息</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ascii="仿宋_GB2312" w:hAnsi="微软雅黑" w:eastAsia="仿宋_GB2312" w:cs="仿宋_GB2312"/>
                <w:i w:val="0"/>
                <w:caps w:val="0"/>
                <w:color w:val="000000"/>
                <w:spacing w:val="0"/>
                <w:sz w:val="32"/>
                <w:szCs w:val="32"/>
              </w:rPr>
              <w:t>穗环法罚〔</w:t>
            </w:r>
            <w:r>
              <w:rPr>
                <w:rFonts w:hint="eastAsia" w:ascii="仿宋" w:hAnsi="仿宋" w:eastAsia="仿宋" w:cs="仿宋"/>
                <w:i w:val="0"/>
                <w:caps w:val="0"/>
                <w:color w:val="000000"/>
                <w:spacing w:val="0"/>
                <w:sz w:val="32"/>
                <w:szCs w:val="32"/>
              </w:rPr>
              <w:t>2020</w:t>
            </w:r>
            <w:r>
              <w:rPr>
                <w:rFonts w:hint="default" w:ascii="仿宋_GB2312" w:hAnsi="微软雅黑" w:eastAsia="仿宋_GB2312" w:cs="仿宋_GB2312"/>
                <w:i w:val="0"/>
                <w:caps w:val="0"/>
                <w:color w:val="000000"/>
                <w:spacing w:val="0"/>
                <w:sz w:val="32"/>
                <w:szCs w:val="32"/>
              </w:rPr>
              <w:t>〕</w:t>
            </w:r>
            <w:r>
              <w:rPr>
                <w:rFonts w:hint="eastAsia" w:ascii="仿宋" w:hAnsi="仿宋" w:eastAsia="仿宋" w:cs="仿宋"/>
                <w:i w:val="0"/>
                <w:caps w:val="0"/>
                <w:color w:val="000000"/>
                <w:spacing w:val="0"/>
                <w:sz w:val="32"/>
                <w:szCs w:val="32"/>
              </w:rPr>
              <w:t>1 </w:t>
            </w:r>
            <w:r>
              <w:rPr>
                <w:rFonts w:hint="default" w:ascii="仿宋_GB2312" w:hAnsi="微软雅黑" w:eastAsia="仿宋_GB2312" w:cs="仿宋_GB2312"/>
                <w:i w:val="0"/>
                <w:caps w:val="0"/>
                <w:color w:val="000000"/>
                <w:spacing w:val="0"/>
                <w:sz w:val="32"/>
                <w:szCs w:val="32"/>
              </w:rPr>
              <w:t>号</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center"/>
            </w:pPr>
            <w:r>
              <w:rPr>
                <w:rFonts w:ascii="方正小标宋简体" w:hAnsi="方正小标宋简体" w:eastAsia="方正小标宋简体" w:cs="方正小标宋简体"/>
                <w:i w:val="0"/>
                <w:caps w:val="0"/>
                <w:color w:val="000000"/>
                <w:spacing w:val="0"/>
                <w:sz w:val="44"/>
                <w:szCs w:val="44"/>
              </w:rPr>
              <w:t>行政处罚决定书</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default" w:ascii="仿宋_GB2312" w:hAnsi="微软雅黑" w:eastAsia="仿宋_GB2312" w:cs="仿宋_GB2312"/>
                <w:i w:val="0"/>
                <w:caps w:val="0"/>
                <w:color w:val="000000"/>
                <w:spacing w:val="0"/>
                <w:sz w:val="32"/>
                <w:szCs w:val="32"/>
              </w:rPr>
              <w:t>当事人：番禺精美五金塑料制品有限公司</w:t>
            </w:r>
          </w:p>
          <w:p>
            <w:pPr>
              <w:pStyle w:val="2"/>
              <w:keepNext w:val="0"/>
              <w:keepLines w:val="0"/>
              <w:widowControl/>
              <w:suppressLineNumbers w:val="0"/>
              <w:ind w:left="0" w:right="0"/>
              <w:jc w:val="both"/>
            </w:pPr>
            <w:r>
              <w:rPr>
                <w:rFonts w:hint="default" w:ascii="仿宋_GB2312" w:hAnsi="微软雅黑" w:eastAsia="仿宋_GB2312" w:cs="仿宋_GB2312"/>
                <w:i w:val="0"/>
                <w:caps w:val="0"/>
                <w:color w:val="000000"/>
                <w:spacing w:val="0"/>
                <w:sz w:val="32"/>
                <w:szCs w:val="32"/>
              </w:rPr>
              <w:t>统一社会信用代码：914401156187043330</w:t>
            </w:r>
          </w:p>
          <w:p>
            <w:pPr>
              <w:pStyle w:val="2"/>
              <w:keepNext w:val="0"/>
              <w:keepLines w:val="0"/>
              <w:widowControl/>
              <w:suppressLineNumbers w:val="0"/>
              <w:ind w:left="0" w:right="0"/>
              <w:jc w:val="both"/>
            </w:pPr>
            <w:r>
              <w:rPr>
                <w:rFonts w:hint="default" w:ascii="仿宋_GB2312" w:hAnsi="微软雅黑" w:eastAsia="仿宋_GB2312" w:cs="仿宋_GB2312"/>
                <w:i w:val="0"/>
                <w:caps w:val="0"/>
                <w:color w:val="000000"/>
                <w:spacing w:val="0"/>
                <w:sz w:val="32"/>
                <w:szCs w:val="32"/>
              </w:rPr>
              <w:t>地</w:t>
            </w:r>
            <w:r>
              <w:rPr>
                <w:rFonts w:hint="eastAsia" w:ascii="微软雅黑" w:hAnsi="微软雅黑" w:eastAsia="微软雅黑" w:cs="微软雅黑"/>
                <w:i w:val="0"/>
                <w:caps w:val="0"/>
                <w:color w:val="000000"/>
                <w:spacing w:val="0"/>
                <w:sz w:val="32"/>
                <w:szCs w:val="32"/>
              </w:rPr>
              <w:t>  </w:t>
            </w:r>
            <w:r>
              <w:rPr>
                <w:rFonts w:hint="default" w:ascii="仿宋_GB2312" w:hAnsi="微软雅黑" w:eastAsia="仿宋_GB2312" w:cs="仿宋_GB2312"/>
                <w:i w:val="0"/>
                <w:caps w:val="0"/>
                <w:color w:val="000000"/>
                <w:spacing w:val="0"/>
                <w:sz w:val="32"/>
                <w:szCs w:val="32"/>
              </w:rPr>
              <w:t>址：广州市南沙区横沥镇番中公路横沥段2号</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  经我局执法支队2019年4月9日、4月15日调查发现，当事人未依法报批建设项目环境影响报告表，未配套建设环境保护设施的情况下，于2017年10月建成1间注塑车间（命名为I3车间，设有6台注塑机等生产设备）并投入生产使用，至调查时尚未依法报批环评文件。</w:t>
            </w:r>
          </w:p>
          <w:p>
            <w:pPr>
              <w:pStyle w:val="2"/>
              <w:keepNext w:val="0"/>
              <w:keepLines w:val="0"/>
              <w:widowControl/>
              <w:suppressLineNumbers w:val="0"/>
              <w:ind w:left="0"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  以上事实，有《现场检查笔录 》、《调查询问笔录》、现场照片等证据为证。</w:t>
            </w:r>
          </w:p>
          <w:p>
            <w:pPr>
              <w:pStyle w:val="2"/>
              <w:keepNext w:val="0"/>
              <w:keepLines w:val="0"/>
              <w:widowControl/>
              <w:suppressLineNumbers w:val="0"/>
              <w:ind w:left="0"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  当事人上述行为违反了《中华人民共和国环境影响评价法》第二十二条第一款的规定。</w:t>
            </w:r>
          </w:p>
          <w:p>
            <w:pPr>
              <w:pStyle w:val="2"/>
              <w:keepNext w:val="0"/>
              <w:keepLines w:val="0"/>
              <w:widowControl/>
              <w:suppressLineNumbers w:val="0"/>
              <w:ind w:left="0"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  2019年7月30日，我局作出《行政处罚听证告知书》（穗环法告〔2019〕28号）并送达。当事人未在规定时限内提交听证申请，也未提交书面申辩意见。另查，当事人于2019年10月10日取得南沙开发区行政审批局关于其注塑生产线扩建项目的环评批复（穗南审批环评〔2019〕253号），其中包括涉案的“I3厂房注塑机6台”，该扩建项目于2019年11月19日至12月17日在国家自主验收信息平台上进行公示。现本案经我局审查结束。</w:t>
            </w:r>
          </w:p>
          <w:p>
            <w:pPr>
              <w:pStyle w:val="2"/>
              <w:keepNext w:val="0"/>
              <w:keepLines w:val="0"/>
              <w:widowControl/>
              <w:suppressLineNumbers w:val="0"/>
              <w:ind w:left="0" w:right="0"/>
              <w:jc w:val="both"/>
              <w:rPr>
                <w:rFonts w:hint="eastAsia" w:ascii="仿宋" w:hAnsi="仿宋" w:eastAsia="仿宋" w:cs="仿宋"/>
                <w:sz w:val="32"/>
                <w:szCs w:val="32"/>
              </w:rPr>
            </w:pPr>
            <w:r>
              <w:rPr>
                <w:rFonts w:hint="default" w:ascii="仿宋_GB2312" w:hAnsi="微软雅黑" w:eastAsia="仿宋_GB2312" w:cs="仿宋_GB2312"/>
                <w:i w:val="0"/>
                <w:caps w:val="0"/>
                <w:color w:val="000000"/>
                <w:spacing w:val="0"/>
                <w:sz w:val="32"/>
                <w:szCs w:val="32"/>
              </w:rPr>
              <w:t>  我局依据《中华人民共和国环境影响评价法》第三十一条第一款和《广州市规范环境行政处罚自由</w:t>
            </w:r>
            <w:r>
              <w:rPr>
                <w:rFonts w:hint="eastAsia" w:ascii="仿宋" w:hAnsi="仿宋" w:eastAsia="仿宋" w:cs="仿宋"/>
                <w:i w:val="0"/>
                <w:caps w:val="0"/>
                <w:color w:val="000000"/>
                <w:spacing w:val="0"/>
                <w:sz w:val="32"/>
                <w:szCs w:val="32"/>
              </w:rPr>
              <w:t>裁量权规定》附件第1.1.1.1项的规定，作出处罚决定如下：</w:t>
            </w:r>
          </w:p>
          <w:p>
            <w:pPr>
              <w:pStyle w:val="2"/>
              <w:keepNext w:val="0"/>
              <w:keepLines w:val="0"/>
              <w:widowControl/>
              <w:suppressLineNumbers w:val="0"/>
              <w:ind w:left="0"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  罚款16.8万元。</w:t>
            </w:r>
          </w:p>
          <w:p>
            <w:pPr>
              <w:pStyle w:val="2"/>
              <w:keepNext w:val="0"/>
              <w:keepLines w:val="0"/>
              <w:widowControl/>
              <w:suppressLineNumbers w:val="0"/>
              <w:ind w:left="0" w:right="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  限当事人在收到本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2"/>
              <w:keepNext w:val="0"/>
              <w:keepLines w:val="0"/>
              <w:widowControl/>
              <w:suppressLineNumbers w:val="0"/>
              <w:ind w:left="0" w:right="0"/>
              <w:jc w:val="both"/>
            </w:pPr>
            <w:r>
              <w:rPr>
                <w:rFonts w:hint="eastAsia" w:ascii="仿宋" w:hAnsi="仿宋" w:eastAsia="仿宋" w:cs="仿宋"/>
                <w:i w:val="0"/>
                <w:caps w:val="0"/>
                <w:color w:val="000000"/>
                <w:spacing w:val="0"/>
                <w:sz w:val="32"/>
                <w:szCs w:val="32"/>
              </w:rPr>
              <w:t>  如不服上述行政处罚决定，可在接到本决定之日起60日内，向广州市人民政府（地址：越秀区小北路183号金和大厦2楼，电话：83555988）或广东省生态环境厅（地址：天河区龙口西路213号，电话：87533928、87531656）提出行政复议申请，或在6个月内直接向有管辖权的人民法院提起行政诉讼。行政复议、行政诉讼期间内，不得停止本决定的履行。</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w:t>
            </w:r>
            <w:r>
              <w:rPr>
                <w:rFonts w:hint="default" w:ascii="仿宋_GB2312" w:hAnsi="微软雅黑" w:eastAsia="仿宋_GB2312" w:cs="仿宋_GB2312"/>
                <w:i w:val="0"/>
                <w:caps w:val="0"/>
                <w:color w:val="000000"/>
                <w:spacing w:val="0"/>
                <w:sz w:val="32"/>
                <w:szCs w:val="32"/>
              </w:rPr>
              <w:t>逾期不履行本处罚决定，我局将申请人民法院强制执行，并每日按罚款额的百分之三加处罚款。</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hint="default" w:ascii="仿宋_GB2312" w:hAnsi="微软雅黑" w:eastAsia="仿宋_GB2312" w:cs="仿宋_GB2312"/>
                <w:i w:val="0"/>
                <w:caps w:val="0"/>
                <w:color w:val="000000"/>
                <w:spacing w:val="0"/>
                <w:sz w:val="32"/>
                <w:szCs w:val="32"/>
              </w:rPr>
              <w:t>广州市生态环境局</w:t>
            </w:r>
          </w:p>
          <w:p>
            <w:pPr>
              <w:pStyle w:val="2"/>
              <w:keepNext w:val="0"/>
              <w:keepLines w:val="0"/>
              <w:widowControl/>
              <w:suppressLineNumbers w:val="0"/>
              <w:ind w:left="0" w:right="0"/>
              <w:jc w:val="right"/>
            </w:pPr>
            <w:r>
              <w:rPr>
                <w:rFonts w:hint="default" w:ascii="仿宋_GB2312" w:hAnsi="微软雅黑" w:eastAsia="仿宋_GB2312" w:cs="仿宋_GB2312"/>
                <w:i w:val="0"/>
                <w:caps w:val="0"/>
                <w:color w:val="000000"/>
                <w:spacing w:val="0"/>
                <w:sz w:val="32"/>
                <w:szCs w:val="32"/>
              </w:rPr>
              <w:t>2020年5月18日</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32"/>
                <w:szCs w:val="32"/>
              </w:rPr>
              <w:t>抄送：环评处、执法支队，市生态环境局南沙区分局。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04E96"/>
    <w:rsid w:val="15825988"/>
    <w:rsid w:val="1FCB75E3"/>
    <w:rsid w:val="25A04E96"/>
    <w:rsid w:val="6D4259B1"/>
    <w:rsid w:val="6ED71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2020-06-04T06:40:00Z</dcterms:created>
  <dc:creator>陈璐</dc:creator>
  <cp:lastModifiedBy>陈璐</cp:lastModifiedBy>
  <dcterms:modified xsi:type="dcterms:W3CDTF">2020-06-04T08:32:14Z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