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0D62BF" w:rsidRPr="000D62BF" w:rsidTr="000D62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8" w:space="0" w:color="000000"/>
                <w:left w:val="single" w:sz="8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6"/>
              <w:gridCol w:w="4890"/>
              <w:gridCol w:w="1587"/>
              <w:gridCol w:w="1242"/>
              <w:gridCol w:w="1242"/>
              <w:gridCol w:w="1587"/>
              <w:gridCol w:w="1673"/>
            </w:tblGrid>
            <w:tr w:rsidR="000D62BF" w:rsidRPr="000D62BF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行政处罚决定文书号 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穗环法罚【2019】24号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行政相对人类别: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法人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处罚类别: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罚款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违法事实: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经我局执法支队2019年6月11日调查显示，你公司表面处理污泥（属HW17类危险废物）堆放场地采取的防扬散、防流失、防渗漏的措施不完善，亦未设置危险废物识别标志。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处罚依据: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《中华人民共和国固体废物污染环境防治法》：违反本法有关危险废物污染环境防治的规定，有下列行为之一的，由县级以上人民政府环境保护行政主管部门责令停止违法行为，限期改正，处以罚款：（一）不设置危险废物识别标志的；有前款第一项行为的，处一万元以上十万元以下的罚款。 , 《中华人民共和国固体废物污染环境防治法》第七十五条第一款第一项、第二款；《中华人民共和国固体废物污染环境防治法》：违反本法规定，有下列行为之一的，由县级以上人民政府环境保护行政主管部门责令停止违法行为，限期改正，处以罚款：（二）对暂时不利用或者不能利用的工业固体废物未建设贮存的设施、场所安全分类存放，或者未采取无害化处置措施的；有前款第二项行为的，处一万元以上十万元以下的罚款。 , 《中华人民共和国固体废物污染环境防治法》第六十八条第一款第二项、第二款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处罚内容: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详见处罚决定文书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行政相对人名</w:t>
                  </w: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称: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lastRenderedPageBreak/>
                    <w:t>荣阳铝业（中国）有限公司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trHeight w:val="4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行政相对人代码: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统一社会信用代码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组织机构代码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工商登记码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税务登记号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事业单位证书号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社会组织登记证号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>91440183708201481T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法人代表姓名: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徐迎娣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法定代表人证件号码: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746569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>413001</w:t>
                  </w:r>
                  <w:r w:rsidR="00746569" w:rsidRPr="00746569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>***********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>0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证件类</w:t>
                  </w: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型: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证件号码: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违法行为类型: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《中华人民共和国固体废物污染环境防治法》：对危险废物的容器和包装物以及收集、贮存、运输、处置危险废物的设施、场所，必须设置危险废物识别标志。 , 《中华人民共和国固体废物污染环境防治法》第五十二条；《中华人民共和国固体废物污染环境防治法》：企业事业单位应当根据经济、技术条件对其产生的工业固体废物加以利用；对暂时不利用或者不能利用的，必须按照国务院环境保护行政主管部门的规定建设贮存设施、场所，安全分类存放，或者采取无害化处置措施。 , 《中华人民共和国固体废物污染环境防治法》第三十三条第一款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罚款金额（万</w:t>
                  </w: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元）: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lastRenderedPageBreak/>
                    <w:t>5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没收违法所得、没收非法财物的金额（万元）: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暂扣或吊销证照名称及编号: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处罚决定日期: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2019/08/30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处罚有效期: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2099/12/31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公示截止期: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2099/12/31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处罚机关: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广州市生态环境局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处罚机关统一社会信</w:t>
                  </w: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用代码: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lastRenderedPageBreak/>
                    <w:t xml:space="preserve">11440100MB2C93184J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lastRenderedPageBreak/>
                    <w:t>数据来源单位: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广州市生态环境局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数据来源单位统一社会信用代码: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 xml:space="preserve">11440100MB2C93184J </w:t>
                  </w:r>
                </w:p>
              </w:tc>
            </w:tr>
            <w:tr w:rsidR="000D62BF" w:rsidRPr="000D62BF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bottom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6"/>
                    </w:rPr>
                    <w:t>备注: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9" w:type="dxa"/>
                    <w:left w:w="129" w:type="dxa"/>
                    <w:bottom w:w="129" w:type="dxa"/>
                    <w:right w:w="129" w:type="dxa"/>
                  </w:tcMar>
                  <w:vAlign w:val="center"/>
                  <w:hideMark/>
                </w:tcPr>
                <w:p w:rsidR="000D62BF" w:rsidRPr="000D62BF" w:rsidRDefault="000D62BF" w:rsidP="000D62BF">
                  <w:pPr>
                    <w:widowControl/>
                    <w:spacing w:line="387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</w:pPr>
                  <w:r w:rsidRPr="000D62BF">
                    <w:rPr>
                      <w:rFonts w:ascii="宋体" w:eastAsia="宋体" w:hAnsi="宋体" w:cs="宋体"/>
                      <w:color w:val="000000"/>
                      <w:kern w:val="0"/>
                      <w:sz w:val="26"/>
                    </w:rPr>
                    <w:t>/</w:t>
                  </w:r>
                  <w:r w:rsidRPr="000D62BF">
                    <w:rPr>
                      <w:rFonts w:ascii="宋体" w:eastAsia="宋体" w:hAnsi="宋体" w:cs="宋体"/>
                      <w:color w:val="102401"/>
                      <w:kern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D62BF" w:rsidRPr="000D62BF" w:rsidRDefault="000D62BF" w:rsidP="000D62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62BF" w:rsidRPr="000D62BF" w:rsidTr="000D62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D62BF" w:rsidRPr="000D62BF" w:rsidRDefault="000D62BF" w:rsidP="000D62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0D62BF" w:rsidRPr="000D62BF" w:rsidRDefault="000D62BF" w:rsidP="000D62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0D62BF" w:rsidRPr="000D62BF" w:rsidRDefault="000D62BF" w:rsidP="000D62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穗环法罚〔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24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行政处罚决定书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当事人：</w:t>
            </w:r>
            <w:r w:rsidRPr="000D62BF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荣阳铝业（中国）有限公司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统一社会信用代码：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91440183708201481T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地</w:t>
            </w:r>
            <w:r w:rsidRPr="000D62B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址：广州增城荔城镇西郊（市柑桔场内）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经我局执法支队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日调查显示，当事人表面处理污泥（属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HW17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类危险废物）堆放场地采取的防扬散、防流失、防渗漏的措施不完善，亦未设置危险废物识别标志</w:t>
            </w:r>
            <w:r w:rsidRPr="000D62BF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。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以上事实，有《调查询问笔录》、《现场检查笔录》等证据为证。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上述行为违反了《中华人民共和国固体废物污染环境防治法》第三十三条第一款、第五十二条的规定。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日，我局作出《行政处罚告知书》（穗环法告〔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41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号），并于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日邮寄送达当事人。当事人未在有效期限内向我局提出书面陈述申辩意见。现本案经我局审查结束。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我局依据《中华人民共和国固体废物污染环境防治法》第六十八条第一款第二项、第二款及第七十五条第一款第一项、第二款和《广州市规范环境行政处罚自由裁量权规定》附件第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14.1.2.3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项、第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14.9.2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项的规定，责令当事人立即改正违法行为，作出处罚决定如下：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罚款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万元。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限当事人在收到本处罚决定书之日起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广东华兴银行、创兴银行、浙商银行、渤海银行、珠海华润银行、九江银行），收入项目编码：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3124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  <w:r w:rsidRPr="000D62BF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如不服上述行政处罚决定，可在接到本决定之日起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日内，向广州市人民政府（地址：越秀区小北路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183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号金和大厦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楼，电话：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83555988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）或广东省生态环境厅（地址：天河区龙口西路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213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号，电话：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87533928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87531656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）提出行政复议申请，或在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个月内直接向有管辖权的人民法院提起行政诉讼。行政复议、行政诉讼期间内，不得停止本决定的履行。</w:t>
            </w:r>
            <w:r w:rsidRPr="000D62BF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逾期不履行本处罚决定，我局将申请人民法院强制执行，并每日按罚款额的百分之三加处罚款。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、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广州市生态环境局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0D62BF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D62BF" w:rsidRPr="000D62BF" w:rsidRDefault="000D62BF" w:rsidP="000D62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62BF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抄送：局辐固处，市固管中心，市生态环境局增城区分局。</w:t>
            </w:r>
          </w:p>
        </w:tc>
      </w:tr>
    </w:tbl>
    <w:p w:rsidR="00BA7257" w:rsidRPr="000D62BF" w:rsidRDefault="00BA7257"/>
    <w:sectPr w:rsidR="00BA7257" w:rsidRPr="000D62BF" w:rsidSect="000D62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CA" w:rsidRDefault="005775CA" w:rsidP="00746569">
      <w:r>
        <w:separator/>
      </w:r>
    </w:p>
  </w:endnote>
  <w:endnote w:type="continuationSeparator" w:id="1">
    <w:p w:rsidR="005775CA" w:rsidRDefault="005775CA" w:rsidP="0074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CA" w:rsidRDefault="005775CA" w:rsidP="00746569">
      <w:r>
        <w:separator/>
      </w:r>
    </w:p>
  </w:footnote>
  <w:footnote w:type="continuationSeparator" w:id="1">
    <w:p w:rsidR="005775CA" w:rsidRDefault="005775CA" w:rsidP="00746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BF"/>
    <w:rsid w:val="000D62BF"/>
    <w:rsid w:val="003E57B8"/>
    <w:rsid w:val="005775CA"/>
    <w:rsid w:val="00746569"/>
    <w:rsid w:val="00BA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0D62BF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0D62BF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0D62BF"/>
    <w:rPr>
      <w:b/>
      <w:bCs/>
    </w:rPr>
  </w:style>
  <w:style w:type="paragraph" w:styleId="a4">
    <w:name w:val="Normal (Web)"/>
    <w:basedOn w:val="a"/>
    <w:uiPriority w:val="99"/>
    <w:unhideWhenUsed/>
    <w:rsid w:val="000D6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74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656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6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325</Words>
  <Characters>1859</Characters>
  <Application>Microsoft Office Word</Application>
  <DocSecurity>0</DocSecurity>
  <Lines>15</Lines>
  <Paragraphs>4</Paragraphs>
  <ScaleCrop>false</ScaleCrop>
  <Company>Sky123.Org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ૐਖ</dc:creator>
  <cp:lastModifiedBy>ૐਖ</cp:lastModifiedBy>
  <cp:revision>2</cp:revision>
  <dcterms:created xsi:type="dcterms:W3CDTF">2019-09-10T08:58:00Z</dcterms:created>
  <dcterms:modified xsi:type="dcterms:W3CDTF">2019-09-10T08:58:00Z</dcterms:modified>
</cp:coreProperties>
</file>