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BF" w:rsidRDefault="00130C8E">
      <w:pPr>
        <w:widowControl/>
        <w:shd w:val="clear" w:color="auto" w:fill="FFFFFF"/>
        <w:adjustRightInd w:val="0"/>
        <w:spacing w:line="560" w:lineRule="exact"/>
        <w:ind w:firstLineChars="200" w:firstLine="640"/>
        <w:jc w:val="left"/>
        <w:rPr>
          <w:rFonts w:ascii="Times New Roman" w:eastAsia="黑体" w:hAnsi="Times New Roman"/>
          <w:kern w:val="0"/>
          <w:sz w:val="28"/>
          <w:szCs w:val="28"/>
          <w:shd w:val="clear" w:color="auto" w:fill="FFFFFF"/>
        </w:rPr>
      </w:pPr>
      <w:r>
        <w:rPr>
          <w:rFonts w:ascii="Times New Roman" w:eastAsia="黑体" w:hAnsi="Times New Roman"/>
          <w:kern w:val="0"/>
          <w:sz w:val="32"/>
          <w:szCs w:val="32"/>
          <w:shd w:val="clear" w:color="auto" w:fill="FFFFFF"/>
        </w:rPr>
        <w:t>附件</w:t>
      </w:r>
      <w:r>
        <w:rPr>
          <w:rFonts w:ascii="Times New Roman" w:eastAsia="黑体" w:hAnsi="Times New Roman" w:hint="eastAsia"/>
          <w:kern w:val="0"/>
          <w:sz w:val="32"/>
          <w:szCs w:val="32"/>
          <w:shd w:val="clear" w:color="auto" w:fill="FFFFFF"/>
        </w:rPr>
        <w:t>1</w:t>
      </w:r>
    </w:p>
    <w:p w:rsidR="00E037BF" w:rsidRDefault="00130C8E">
      <w:pPr>
        <w:jc w:val="center"/>
        <w:rPr>
          <w:rFonts w:ascii="Times New Roman" w:eastAsia="方正小标宋简体" w:hAnsi="Times New Roman"/>
          <w:kern w:val="0"/>
          <w:sz w:val="44"/>
          <w:szCs w:val="44"/>
          <w:shd w:val="clear" w:color="auto" w:fill="FFFFFF"/>
        </w:rPr>
      </w:pPr>
      <w:r>
        <w:rPr>
          <w:rFonts w:ascii="Times New Roman" w:eastAsia="方正小标宋简体" w:hAnsi="Times New Roman"/>
          <w:kern w:val="0"/>
          <w:sz w:val="44"/>
          <w:szCs w:val="44"/>
          <w:shd w:val="clear" w:color="auto" w:fill="FFFFFF"/>
        </w:rPr>
        <w:t>排水管渠清疏频率</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4"/>
        <w:gridCol w:w="3445"/>
        <w:gridCol w:w="1281"/>
        <w:gridCol w:w="4232"/>
      </w:tblGrid>
      <w:tr w:rsidR="00E037BF">
        <w:trPr>
          <w:trHeight w:val="939"/>
        </w:trPr>
        <w:tc>
          <w:tcPr>
            <w:tcW w:w="5169" w:type="dxa"/>
            <w:gridSpan w:val="2"/>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设施名称</w:t>
            </w:r>
          </w:p>
        </w:tc>
        <w:tc>
          <w:tcPr>
            <w:tcW w:w="1281" w:type="dxa"/>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频率</w:t>
            </w:r>
          </w:p>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（次</w:t>
            </w:r>
            <w:r>
              <w:rPr>
                <w:rFonts w:ascii="Times New Roman" w:eastAsia="仿宋_GB2312" w:hAnsi="Times New Roman"/>
                <w:b/>
                <w:bCs/>
                <w:kern w:val="0"/>
                <w:sz w:val="20"/>
                <w:szCs w:val="21"/>
              </w:rPr>
              <w:t>/</w:t>
            </w:r>
            <w:r>
              <w:rPr>
                <w:rFonts w:ascii="Times New Roman" w:eastAsia="仿宋_GB2312" w:hAnsi="Times New Roman"/>
                <w:b/>
                <w:bCs/>
                <w:kern w:val="0"/>
                <w:sz w:val="20"/>
                <w:szCs w:val="21"/>
              </w:rPr>
              <w:t>年）</w:t>
            </w:r>
          </w:p>
        </w:tc>
        <w:tc>
          <w:tcPr>
            <w:tcW w:w="4232" w:type="dxa"/>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备注</w:t>
            </w:r>
          </w:p>
        </w:tc>
      </w:tr>
      <w:tr w:rsidR="00E037BF">
        <w:trPr>
          <w:trHeight w:val="679"/>
        </w:trPr>
        <w:tc>
          <w:tcPr>
            <w:tcW w:w="1724" w:type="dxa"/>
            <w:vMerge w:val="restart"/>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雨水（合流管道）</w:t>
            </w: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D&lt;600mm</w:t>
            </w:r>
            <w:r>
              <w:rPr>
                <w:rFonts w:ascii="Times New Roman" w:eastAsia="仿宋_GB2312" w:hAnsi="Times New Roman"/>
                <w:kern w:val="0"/>
                <w:sz w:val="20"/>
                <w:szCs w:val="21"/>
              </w:rPr>
              <w:t>雨水</w:t>
            </w:r>
            <w:r>
              <w:rPr>
                <w:rFonts w:ascii="Times New Roman" w:eastAsia="仿宋_GB2312" w:hAnsi="Times New Roman"/>
                <w:kern w:val="0"/>
                <w:sz w:val="20"/>
                <w:szCs w:val="21"/>
              </w:rPr>
              <w:t>(</w:t>
            </w:r>
            <w:r>
              <w:rPr>
                <w:rFonts w:ascii="Times New Roman" w:eastAsia="仿宋_GB2312" w:hAnsi="Times New Roman"/>
                <w:kern w:val="0"/>
                <w:sz w:val="20"/>
                <w:szCs w:val="21"/>
              </w:rPr>
              <w:t>合流</w:t>
            </w:r>
            <w:r>
              <w:rPr>
                <w:rFonts w:ascii="Times New Roman" w:eastAsia="仿宋_GB2312" w:hAnsi="Times New Roman"/>
                <w:kern w:val="0"/>
                <w:sz w:val="20"/>
                <w:szCs w:val="21"/>
              </w:rPr>
              <w:t>)</w:t>
            </w:r>
            <w:r>
              <w:rPr>
                <w:rFonts w:ascii="Times New Roman" w:eastAsia="仿宋_GB2312" w:hAnsi="Times New Roman"/>
                <w:kern w:val="0"/>
                <w:sz w:val="20"/>
                <w:szCs w:val="21"/>
              </w:rPr>
              <w:t>管道</w:t>
            </w:r>
            <w:r>
              <w:rPr>
                <w:rFonts w:ascii="Times New Roman" w:eastAsia="仿宋_GB2312" w:hAnsi="Times New Roman"/>
                <w:kern w:val="0"/>
                <w:sz w:val="20"/>
                <w:szCs w:val="21"/>
              </w:rPr>
              <w:t>(</w:t>
            </w:r>
            <w:r>
              <w:rPr>
                <w:rFonts w:ascii="Times New Roman" w:eastAsia="仿宋_GB2312" w:hAnsi="Times New Roman"/>
                <w:kern w:val="0"/>
                <w:sz w:val="20"/>
                <w:szCs w:val="21"/>
              </w:rPr>
              <w:t>小型管道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3.5</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雨季前、中、后各清疏</w:t>
            </w:r>
            <w:r>
              <w:rPr>
                <w:rFonts w:ascii="Times New Roman" w:eastAsia="仿宋_GB2312" w:hAnsi="Times New Roman"/>
                <w:kern w:val="0"/>
                <w:sz w:val="20"/>
                <w:szCs w:val="21"/>
              </w:rPr>
              <w:t>1</w:t>
            </w:r>
            <w:r>
              <w:rPr>
                <w:rFonts w:ascii="Times New Roman" w:eastAsia="仿宋_GB2312" w:hAnsi="Times New Roman"/>
                <w:kern w:val="0"/>
                <w:sz w:val="20"/>
                <w:szCs w:val="21"/>
              </w:rPr>
              <w:t>次，非雨季视淤积情况清理</w:t>
            </w:r>
            <w:r>
              <w:rPr>
                <w:rFonts w:ascii="Times New Roman" w:eastAsia="仿宋_GB2312" w:hAnsi="Times New Roman"/>
                <w:kern w:val="0"/>
                <w:sz w:val="20"/>
                <w:szCs w:val="21"/>
              </w:rPr>
              <w:t>50%</w:t>
            </w:r>
            <w:r>
              <w:rPr>
                <w:rFonts w:ascii="Times New Roman" w:eastAsia="仿宋_GB2312" w:hAnsi="Times New Roman"/>
                <w:kern w:val="0"/>
                <w:sz w:val="20"/>
                <w:szCs w:val="21"/>
              </w:rPr>
              <w:t>长度的管道</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b/>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600mm≤D≤1000mm</w:t>
            </w:r>
            <w:r>
              <w:rPr>
                <w:rFonts w:ascii="Times New Roman" w:eastAsia="仿宋_GB2312" w:hAnsi="Times New Roman"/>
                <w:kern w:val="0"/>
                <w:sz w:val="20"/>
                <w:szCs w:val="21"/>
              </w:rPr>
              <w:t>雨水</w:t>
            </w:r>
            <w:r>
              <w:rPr>
                <w:rFonts w:ascii="Times New Roman" w:eastAsia="仿宋_GB2312" w:hAnsi="Times New Roman"/>
                <w:kern w:val="0"/>
                <w:sz w:val="20"/>
                <w:szCs w:val="21"/>
              </w:rPr>
              <w:t>(</w:t>
            </w:r>
            <w:r>
              <w:rPr>
                <w:rFonts w:ascii="Times New Roman" w:eastAsia="仿宋_GB2312" w:hAnsi="Times New Roman"/>
                <w:kern w:val="0"/>
                <w:sz w:val="20"/>
                <w:szCs w:val="21"/>
              </w:rPr>
              <w:t>合流</w:t>
            </w:r>
            <w:r>
              <w:rPr>
                <w:rFonts w:ascii="Times New Roman" w:eastAsia="仿宋_GB2312" w:hAnsi="Times New Roman"/>
                <w:kern w:val="0"/>
                <w:sz w:val="20"/>
                <w:szCs w:val="21"/>
              </w:rPr>
              <w:t>)</w:t>
            </w:r>
            <w:r>
              <w:rPr>
                <w:rFonts w:ascii="Times New Roman" w:eastAsia="仿宋_GB2312" w:hAnsi="Times New Roman"/>
                <w:kern w:val="0"/>
                <w:sz w:val="20"/>
                <w:szCs w:val="21"/>
              </w:rPr>
              <w:t>管道</w:t>
            </w:r>
            <w:r>
              <w:rPr>
                <w:rFonts w:ascii="Times New Roman" w:eastAsia="仿宋_GB2312" w:hAnsi="Times New Roman"/>
                <w:kern w:val="0"/>
                <w:sz w:val="20"/>
                <w:szCs w:val="21"/>
              </w:rPr>
              <w:t>(</w:t>
            </w:r>
            <w:r>
              <w:rPr>
                <w:rFonts w:ascii="Times New Roman" w:eastAsia="仿宋_GB2312" w:hAnsi="Times New Roman"/>
                <w:kern w:val="0"/>
                <w:sz w:val="20"/>
                <w:szCs w:val="21"/>
              </w:rPr>
              <w:t>中型管道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2</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平均每半年</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b/>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1000mm&lt;D≤1500mm</w:t>
            </w:r>
            <w:r>
              <w:rPr>
                <w:rFonts w:ascii="Times New Roman" w:eastAsia="仿宋_GB2312" w:hAnsi="Times New Roman"/>
                <w:kern w:val="0"/>
                <w:sz w:val="20"/>
                <w:szCs w:val="21"/>
              </w:rPr>
              <w:t>雨水</w:t>
            </w:r>
            <w:r>
              <w:rPr>
                <w:rFonts w:ascii="Times New Roman" w:eastAsia="仿宋_GB2312" w:hAnsi="Times New Roman"/>
                <w:kern w:val="0"/>
                <w:sz w:val="20"/>
                <w:szCs w:val="21"/>
              </w:rPr>
              <w:t>(</w:t>
            </w:r>
            <w:r>
              <w:rPr>
                <w:rFonts w:ascii="Times New Roman" w:eastAsia="仿宋_GB2312" w:hAnsi="Times New Roman"/>
                <w:kern w:val="0"/>
                <w:sz w:val="20"/>
                <w:szCs w:val="21"/>
              </w:rPr>
              <w:t>合流</w:t>
            </w:r>
            <w:r>
              <w:rPr>
                <w:rFonts w:ascii="Times New Roman" w:eastAsia="仿宋_GB2312" w:hAnsi="Times New Roman"/>
                <w:kern w:val="0"/>
                <w:sz w:val="20"/>
                <w:szCs w:val="21"/>
              </w:rPr>
              <w:t>)</w:t>
            </w:r>
            <w:r>
              <w:rPr>
                <w:rFonts w:ascii="Times New Roman" w:eastAsia="仿宋_GB2312" w:hAnsi="Times New Roman"/>
                <w:kern w:val="0"/>
                <w:sz w:val="20"/>
                <w:szCs w:val="21"/>
              </w:rPr>
              <w:t>管道</w:t>
            </w:r>
            <w:r>
              <w:rPr>
                <w:rFonts w:ascii="Times New Roman" w:eastAsia="仿宋_GB2312" w:hAnsi="Times New Roman"/>
                <w:kern w:val="0"/>
                <w:sz w:val="20"/>
                <w:szCs w:val="21"/>
              </w:rPr>
              <w:t>(</w:t>
            </w:r>
            <w:r>
              <w:rPr>
                <w:rFonts w:ascii="Times New Roman" w:eastAsia="仿宋_GB2312" w:hAnsi="Times New Roman"/>
                <w:kern w:val="0"/>
                <w:sz w:val="20"/>
                <w:szCs w:val="21"/>
              </w:rPr>
              <w:t>大型管道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1.5</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雨季前清疏</w:t>
            </w:r>
            <w:r>
              <w:rPr>
                <w:rFonts w:ascii="Times New Roman" w:eastAsia="仿宋_GB2312" w:hAnsi="Times New Roman"/>
                <w:kern w:val="0"/>
                <w:sz w:val="20"/>
                <w:szCs w:val="21"/>
              </w:rPr>
              <w:t>1</w:t>
            </w:r>
            <w:r>
              <w:rPr>
                <w:rFonts w:ascii="Times New Roman" w:eastAsia="仿宋_GB2312" w:hAnsi="Times New Roman"/>
                <w:kern w:val="0"/>
                <w:sz w:val="20"/>
                <w:szCs w:val="21"/>
              </w:rPr>
              <w:t>次，非雨季视淤积情况清理</w:t>
            </w:r>
            <w:r>
              <w:rPr>
                <w:rFonts w:ascii="Times New Roman" w:eastAsia="仿宋_GB2312" w:hAnsi="Times New Roman"/>
                <w:kern w:val="0"/>
                <w:sz w:val="20"/>
                <w:szCs w:val="21"/>
              </w:rPr>
              <w:t>50%</w:t>
            </w:r>
            <w:r>
              <w:rPr>
                <w:rFonts w:ascii="Times New Roman" w:eastAsia="仿宋_GB2312" w:hAnsi="Times New Roman"/>
                <w:kern w:val="0"/>
                <w:sz w:val="20"/>
                <w:szCs w:val="21"/>
              </w:rPr>
              <w:t>长度的管道</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b/>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D&gt;1500mm</w:t>
            </w:r>
            <w:r>
              <w:rPr>
                <w:rFonts w:ascii="Times New Roman" w:eastAsia="仿宋_GB2312" w:hAnsi="Times New Roman"/>
                <w:kern w:val="0"/>
                <w:sz w:val="20"/>
                <w:szCs w:val="21"/>
              </w:rPr>
              <w:t>雨水</w:t>
            </w:r>
            <w:r>
              <w:rPr>
                <w:rFonts w:ascii="Times New Roman" w:eastAsia="仿宋_GB2312" w:hAnsi="Times New Roman"/>
                <w:kern w:val="0"/>
                <w:sz w:val="20"/>
                <w:szCs w:val="21"/>
              </w:rPr>
              <w:t>(</w:t>
            </w:r>
            <w:r>
              <w:rPr>
                <w:rFonts w:ascii="Times New Roman" w:eastAsia="仿宋_GB2312" w:hAnsi="Times New Roman"/>
                <w:kern w:val="0"/>
                <w:sz w:val="20"/>
                <w:szCs w:val="21"/>
              </w:rPr>
              <w:t>合流</w:t>
            </w:r>
            <w:r>
              <w:rPr>
                <w:rFonts w:ascii="Times New Roman" w:eastAsia="仿宋_GB2312" w:hAnsi="Times New Roman"/>
                <w:kern w:val="0"/>
                <w:sz w:val="20"/>
                <w:szCs w:val="21"/>
              </w:rPr>
              <w:t>)</w:t>
            </w:r>
            <w:r>
              <w:rPr>
                <w:rFonts w:ascii="Times New Roman" w:eastAsia="仿宋_GB2312" w:hAnsi="Times New Roman"/>
                <w:kern w:val="0"/>
                <w:sz w:val="20"/>
                <w:szCs w:val="21"/>
              </w:rPr>
              <w:t>管道</w:t>
            </w:r>
            <w:r>
              <w:rPr>
                <w:rFonts w:ascii="Times New Roman" w:eastAsia="仿宋_GB2312" w:hAnsi="Times New Roman"/>
                <w:kern w:val="0"/>
                <w:sz w:val="20"/>
                <w:szCs w:val="21"/>
              </w:rPr>
              <w:t>(</w:t>
            </w:r>
            <w:r>
              <w:rPr>
                <w:rFonts w:ascii="Times New Roman" w:eastAsia="仿宋_GB2312" w:hAnsi="Times New Roman"/>
                <w:kern w:val="0"/>
                <w:sz w:val="20"/>
                <w:szCs w:val="21"/>
              </w:rPr>
              <w:t>特大型管道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724" w:type="dxa"/>
            <w:vMerge w:val="restart"/>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污水管道</w:t>
            </w: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D&lt;</w:t>
            </w:r>
            <w:r>
              <w:rPr>
                <w:rFonts w:ascii="Times New Roman" w:eastAsia="仿宋_GB2312" w:hAnsi="Times New Roman"/>
                <w:kern w:val="0"/>
                <w:sz w:val="20"/>
                <w:szCs w:val="21"/>
              </w:rPr>
              <w:t>600mm</w:t>
            </w:r>
            <w:r>
              <w:rPr>
                <w:rFonts w:ascii="Times New Roman" w:eastAsia="仿宋_GB2312" w:hAnsi="Times New Roman"/>
                <w:kern w:val="0"/>
                <w:sz w:val="20"/>
                <w:szCs w:val="21"/>
              </w:rPr>
              <w:t>污水管道</w:t>
            </w:r>
            <w:r>
              <w:rPr>
                <w:rFonts w:ascii="Times New Roman" w:eastAsia="仿宋_GB2312" w:hAnsi="Times New Roman"/>
                <w:kern w:val="0"/>
                <w:sz w:val="20"/>
                <w:szCs w:val="21"/>
              </w:rPr>
              <w:t>(</w:t>
            </w:r>
            <w:r>
              <w:rPr>
                <w:rFonts w:ascii="Times New Roman" w:eastAsia="仿宋_GB2312" w:hAnsi="Times New Roman"/>
                <w:kern w:val="0"/>
                <w:sz w:val="20"/>
                <w:szCs w:val="21"/>
              </w:rPr>
              <w:t>小型管道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3</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平均每四个月清疏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b/>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600mm≤D≤1000mm</w:t>
            </w:r>
            <w:r>
              <w:rPr>
                <w:rFonts w:ascii="Times New Roman" w:eastAsia="仿宋_GB2312" w:hAnsi="Times New Roman"/>
                <w:kern w:val="0"/>
                <w:sz w:val="20"/>
                <w:szCs w:val="21"/>
              </w:rPr>
              <w:t>污水管道</w:t>
            </w:r>
            <w:r>
              <w:rPr>
                <w:rFonts w:ascii="Times New Roman" w:eastAsia="仿宋_GB2312" w:hAnsi="Times New Roman"/>
                <w:kern w:val="0"/>
                <w:sz w:val="20"/>
                <w:szCs w:val="21"/>
              </w:rPr>
              <w:t>(</w:t>
            </w:r>
            <w:r>
              <w:rPr>
                <w:rFonts w:ascii="Times New Roman" w:eastAsia="仿宋_GB2312" w:hAnsi="Times New Roman"/>
                <w:kern w:val="0"/>
                <w:sz w:val="20"/>
                <w:szCs w:val="21"/>
              </w:rPr>
              <w:t>中型管道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2</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平均每半年清疏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b/>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1000mm&lt;D≤1500mm</w:t>
            </w:r>
            <w:r>
              <w:rPr>
                <w:rFonts w:ascii="Times New Roman" w:eastAsia="仿宋_GB2312" w:hAnsi="Times New Roman"/>
                <w:kern w:val="0"/>
                <w:sz w:val="20"/>
                <w:szCs w:val="21"/>
              </w:rPr>
              <w:t>污水管道</w:t>
            </w:r>
            <w:r>
              <w:rPr>
                <w:rFonts w:ascii="Times New Roman" w:eastAsia="仿宋_GB2312" w:hAnsi="Times New Roman"/>
                <w:kern w:val="0"/>
                <w:sz w:val="20"/>
                <w:szCs w:val="21"/>
              </w:rPr>
              <w:t>(</w:t>
            </w:r>
            <w:r>
              <w:rPr>
                <w:rFonts w:ascii="Times New Roman" w:eastAsia="仿宋_GB2312" w:hAnsi="Times New Roman"/>
                <w:kern w:val="0"/>
                <w:sz w:val="20"/>
                <w:szCs w:val="21"/>
              </w:rPr>
              <w:t>大型管道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94"/>
        </w:trPr>
        <w:tc>
          <w:tcPr>
            <w:tcW w:w="1724" w:type="dxa"/>
            <w:vMerge/>
            <w:vAlign w:val="center"/>
          </w:tcPr>
          <w:p w:rsidR="00E037BF" w:rsidRDefault="00E037BF">
            <w:pPr>
              <w:widowControl/>
              <w:jc w:val="center"/>
              <w:textAlignment w:val="center"/>
              <w:rPr>
                <w:rFonts w:ascii="Times New Roman" w:eastAsia="仿宋_GB2312" w:hAnsi="Times New Roman"/>
                <w:b/>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D&gt;1500mm</w:t>
            </w:r>
            <w:r>
              <w:rPr>
                <w:rFonts w:ascii="Times New Roman" w:eastAsia="仿宋_GB2312" w:hAnsi="Times New Roman"/>
                <w:kern w:val="0"/>
                <w:sz w:val="20"/>
                <w:szCs w:val="21"/>
              </w:rPr>
              <w:t>污水管道</w:t>
            </w:r>
            <w:r>
              <w:rPr>
                <w:rFonts w:ascii="Times New Roman" w:eastAsia="仿宋_GB2312" w:hAnsi="Times New Roman"/>
                <w:kern w:val="0"/>
                <w:sz w:val="20"/>
                <w:szCs w:val="21"/>
              </w:rPr>
              <w:t>(</w:t>
            </w:r>
            <w:r>
              <w:rPr>
                <w:rFonts w:ascii="Times New Roman" w:eastAsia="仿宋_GB2312" w:hAnsi="Times New Roman"/>
                <w:kern w:val="0"/>
                <w:sz w:val="20"/>
                <w:szCs w:val="21"/>
              </w:rPr>
              <w:t>特大型管道</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0.5</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平均每两年清疏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724" w:type="dxa"/>
            <w:vMerge w:val="restart"/>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渠箱（暗渠、明渠）</w:t>
            </w: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A&lt;0.283m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渠箱</w:t>
            </w:r>
            <w:r>
              <w:rPr>
                <w:rFonts w:ascii="Times New Roman" w:eastAsia="仿宋_GB2312" w:hAnsi="Times New Roman"/>
                <w:kern w:val="0"/>
                <w:sz w:val="20"/>
                <w:szCs w:val="21"/>
              </w:rPr>
              <w:t>(</w:t>
            </w:r>
            <w:r>
              <w:rPr>
                <w:rFonts w:ascii="Times New Roman" w:eastAsia="仿宋_GB2312" w:hAnsi="Times New Roman"/>
                <w:kern w:val="0"/>
                <w:sz w:val="20"/>
                <w:szCs w:val="21"/>
              </w:rPr>
              <w:t>小型渠箱</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3.5</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雨季前、中、后各清疏</w:t>
            </w:r>
            <w:r>
              <w:rPr>
                <w:rFonts w:ascii="Times New Roman" w:eastAsia="仿宋_GB2312" w:hAnsi="Times New Roman"/>
                <w:kern w:val="0"/>
                <w:sz w:val="20"/>
                <w:szCs w:val="21"/>
              </w:rPr>
              <w:t>1</w:t>
            </w:r>
            <w:r>
              <w:rPr>
                <w:rFonts w:ascii="Times New Roman" w:eastAsia="仿宋_GB2312" w:hAnsi="Times New Roman"/>
                <w:kern w:val="0"/>
                <w:sz w:val="20"/>
                <w:szCs w:val="21"/>
              </w:rPr>
              <w:t>次，非雨季视淤积情况清理</w:t>
            </w:r>
            <w:r>
              <w:rPr>
                <w:rFonts w:ascii="Times New Roman" w:eastAsia="仿宋_GB2312" w:hAnsi="Times New Roman"/>
                <w:kern w:val="0"/>
                <w:sz w:val="20"/>
                <w:szCs w:val="21"/>
              </w:rPr>
              <w:t>50%</w:t>
            </w:r>
            <w:r>
              <w:rPr>
                <w:rFonts w:ascii="Times New Roman" w:eastAsia="仿宋_GB2312" w:hAnsi="Times New Roman"/>
                <w:kern w:val="0"/>
                <w:sz w:val="20"/>
                <w:szCs w:val="21"/>
              </w:rPr>
              <w:t>长度的管道</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0.283m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≤A≤0.785m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渠箱</w:t>
            </w:r>
            <w:r>
              <w:rPr>
                <w:rFonts w:ascii="Times New Roman" w:eastAsia="仿宋_GB2312" w:hAnsi="Times New Roman"/>
                <w:kern w:val="0"/>
                <w:sz w:val="20"/>
                <w:szCs w:val="21"/>
              </w:rPr>
              <w:t>(</w:t>
            </w:r>
            <w:r>
              <w:rPr>
                <w:rFonts w:ascii="Times New Roman" w:eastAsia="仿宋_GB2312" w:hAnsi="Times New Roman"/>
                <w:kern w:val="0"/>
                <w:sz w:val="20"/>
                <w:szCs w:val="21"/>
              </w:rPr>
              <w:t>中型渠箱</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2</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每半年清疏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0.785m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&lt;</w:t>
            </w:r>
            <w:r>
              <w:rPr>
                <w:rFonts w:ascii="Times New Roman" w:eastAsia="仿宋_GB2312" w:hAnsi="Times New Roman"/>
                <w:kern w:val="0"/>
                <w:sz w:val="20"/>
                <w:szCs w:val="21"/>
              </w:rPr>
              <w:t>A≤1.766m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渠箱</w:t>
            </w:r>
            <w:r>
              <w:rPr>
                <w:rFonts w:ascii="Times New Roman" w:eastAsia="仿宋_GB2312" w:hAnsi="Times New Roman"/>
                <w:kern w:val="0"/>
                <w:sz w:val="20"/>
                <w:szCs w:val="21"/>
              </w:rPr>
              <w:t>(</w:t>
            </w:r>
            <w:r>
              <w:rPr>
                <w:rFonts w:ascii="Times New Roman" w:eastAsia="仿宋_GB2312" w:hAnsi="Times New Roman"/>
                <w:kern w:val="0"/>
                <w:sz w:val="20"/>
                <w:szCs w:val="21"/>
              </w:rPr>
              <w:t>大型管渠</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1.5</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雨季前清疏</w:t>
            </w:r>
            <w:r>
              <w:rPr>
                <w:rFonts w:ascii="Times New Roman" w:eastAsia="仿宋_GB2312" w:hAnsi="Times New Roman"/>
                <w:kern w:val="0"/>
                <w:sz w:val="20"/>
                <w:szCs w:val="21"/>
              </w:rPr>
              <w:t>1</w:t>
            </w:r>
            <w:r>
              <w:rPr>
                <w:rFonts w:ascii="Times New Roman" w:eastAsia="仿宋_GB2312" w:hAnsi="Times New Roman"/>
                <w:kern w:val="0"/>
                <w:sz w:val="20"/>
                <w:szCs w:val="21"/>
              </w:rPr>
              <w:t>次，非雨季视淤积情况清理</w:t>
            </w:r>
            <w:r>
              <w:rPr>
                <w:rFonts w:ascii="Times New Roman" w:eastAsia="仿宋_GB2312" w:hAnsi="Times New Roman"/>
                <w:kern w:val="0"/>
                <w:sz w:val="20"/>
                <w:szCs w:val="21"/>
              </w:rPr>
              <w:t>50%</w:t>
            </w:r>
            <w:r>
              <w:rPr>
                <w:rFonts w:ascii="Times New Roman" w:eastAsia="仿宋_GB2312" w:hAnsi="Times New Roman"/>
                <w:kern w:val="0"/>
                <w:sz w:val="20"/>
                <w:szCs w:val="21"/>
              </w:rPr>
              <w:t>长度的管道</w:t>
            </w:r>
          </w:p>
        </w:tc>
      </w:tr>
      <w:tr w:rsidR="00E037BF">
        <w:trPr>
          <w:trHeight w:val="679"/>
        </w:trPr>
        <w:tc>
          <w:tcPr>
            <w:tcW w:w="1724" w:type="dxa"/>
            <w:vMerge/>
            <w:vAlign w:val="center"/>
          </w:tcPr>
          <w:p w:rsidR="00E037BF" w:rsidRDefault="00E037BF">
            <w:pPr>
              <w:widowControl/>
              <w:jc w:val="center"/>
              <w:textAlignment w:val="center"/>
              <w:rPr>
                <w:rFonts w:ascii="Times New Roman" w:eastAsia="仿宋_GB2312" w:hAnsi="Times New Roman"/>
                <w:kern w:val="0"/>
                <w:sz w:val="20"/>
                <w:szCs w:val="21"/>
              </w:rPr>
            </w:pPr>
          </w:p>
        </w:tc>
        <w:tc>
          <w:tcPr>
            <w:tcW w:w="3445"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A&gt;1.766m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雨水</w:t>
            </w:r>
            <w:r>
              <w:rPr>
                <w:rFonts w:ascii="Times New Roman" w:eastAsia="仿宋_GB2312" w:hAnsi="Times New Roman"/>
                <w:kern w:val="0"/>
                <w:sz w:val="20"/>
                <w:szCs w:val="21"/>
              </w:rPr>
              <w:t>(</w:t>
            </w:r>
            <w:r>
              <w:rPr>
                <w:rFonts w:ascii="Times New Roman" w:eastAsia="仿宋_GB2312" w:hAnsi="Times New Roman"/>
                <w:kern w:val="0"/>
                <w:sz w:val="20"/>
                <w:szCs w:val="21"/>
              </w:rPr>
              <w:t>合流</w:t>
            </w:r>
            <w:r>
              <w:rPr>
                <w:rFonts w:ascii="Times New Roman" w:eastAsia="仿宋_GB2312" w:hAnsi="Times New Roman"/>
                <w:kern w:val="0"/>
                <w:sz w:val="20"/>
                <w:szCs w:val="21"/>
              </w:rPr>
              <w:t>)</w:t>
            </w:r>
            <w:r>
              <w:rPr>
                <w:rFonts w:ascii="Times New Roman" w:eastAsia="仿宋_GB2312" w:hAnsi="Times New Roman"/>
                <w:kern w:val="0"/>
                <w:sz w:val="20"/>
                <w:szCs w:val="21"/>
              </w:rPr>
              <w:t>管渠</w:t>
            </w:r>
            <w:r>
              <w:rPr>
                <w:rFonts w:ascii="Times New Roman" w:eastAsia="仿宋_GB2312" w:hAnsi="Times New Roman"/>
                <w:kern w:val="0"/>
                <w:sz w:val="20"/>
                <w:szCs w:val="21"/>
              </w:rPr>
              <w:t>(</w:t>
            </w:r>
            <w:r>
              <w:rPr>
                <w:rFonts w:ascii="Times New Roman" w:eastAsia="仿宋_GB2312" w:hAnsi="Times New Roman"/>
                <w:kern w:val="0"/>
                <w:sz w:val="20"/>
                <w:szCs w:val="21"/>
              </w:rPr>
              <w:t>特大型管渠</w:t>
            </w:r>
            <w:r>
              <w:rPr>
                <w:rFonts w:ascii="Times New Roman" w:eastAsia="仿宋_GB2312" w:hAnsi="Times New Roman"/>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0.5</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平均每两年清疏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5169" w:type="dxa"/>
            <w:gridSpan w:val="2"/>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各类检查井</w:t>
            </w:r>
            <w:r>
              <w:rPr>
                <w:rFonts w:ascii="Times New Roman" w:eastAsia="仿宋_GB2312" w:hAnsi="Times New Roman"/>
                <w:b/>
                <w:kern w:val="0"/>
                <w:sz w:val="20"/>
                <w:szCs w:val="21"/>
              </w:rPr>
              <w:t>(</w:t>
            </w:r>
            <w:r>
              <w:rPr>
                <w:rFonts w:ascii="Times New Roman" w:eastAsia="仿宋_GB2312" w:hAnsi="Times New Roman"/>
                <w:b/>
                <w:kern w:val="0"/>
                <w:sz w:val="20"/>
                <w:szCs w:val="21"/>
              </w:rPr>
              <w:t>雨水、合流</w:t>
            </w:r>
            <w:r>
              <w:rPr>
                <w:rFonts w:ascii="Times New Roman" w:eastAsia="仿宋_GB2312" w:hAnsi="Times New Roman"/>
                <w:b/>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8</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雨季每月清疏</w:t>
            </w:r>
            <w:r>
              <w:rPr>
                <w:rFonts w:ascii="Times New Roman" w:eastAsia="仿宋_GB2312" w:hAnsi="Times New Roman"/>
                <w:kern w:val="0"/>
                <w:sz w:val="20"/>
                <w:szCs w:val="21"/>
              </w:rPr>
              <w:t>1</w:t>
            </w:r>
            <w:r>
              <w:rPr>
                <w:rFonts w:ascii="Times New Roman" w:eastAsia="仿宋_GB2312" w:hAnsi="Times New Roman"/>
                <w:kern w:val="0"/>
                <w:sz w:val="20"/>
                <w:szCs w:val="21"/>
              </w:rPr>
              <w:t>次，旱季每三个月清疏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5169" w:type="dxa"/>
            <w:gridSpan w:val="2"/>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各类检查井</w:t>
            </w:r>
            <w:r>
              <w:rPr>
                <w:rFonts w:ascii="Times New Roman" w:eastAsia="仿宋_GB2312" w:hAnsi="Times New Roman"/>
                <w:b/>
                <w:kern w:val="0"/>
                <w:sz w:val="20"/>
                <w:szCs w:val="21"/>
              </w:rPr>
              <w:t>(</w:t>
            </w:r>
            <w:r>
              <w:rPr>
                <w:rFonts w:ascii="Times New Roman" w:eastAsia="仿宋_GB2312" w:hAnsi="Times New Roman"/>
                <w:b/>
                <w:kern w:val="0"/>
                <w:sz w:val="20"/>
                <w:szCs w:val="21"/>
              </w:rPr>
              <w:t>污水</w:t>
            </w:r>
            <w:r>
              <w:rPr>
                <w:rFonts w:ascii="Times New Roman" w:eastAsia="仿宋_GB2312" w:hAnsi="Times New Roman"/>
                <w:b/>
                <w:kern w:val="0"/>
                <w:sz w:val="20"/>
                <w:szCs w:val="21"/>
              </w:rPr>
              <w:t>)</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6</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平均每两个月清疏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5169" w:type="dxa"/>
            <w:gridSpan w:val="2"/>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雨水口</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12</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平均每月清疏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5169" w:type="dxa"/>
            <w:gridSpan w:val="2"/>
            <w:vAlign w:val="center"/>
          </w:tcPr>
          <w:p w:rsidR="00E037BF" w:rsidRDefault="00130C8E">
            <w:pPr>
              <w:widowControl/>
              <w:jc w:val="center"/>
              <w:textAlignment w:val="center"/>
              <w:rPr>
                <w:rFonts w:ascii="Times New Roman" w:eastAsia="仿宋_GB2312" w:hAnsi="Times New Roman"/>
                <w:b/>
                <w:kern w:val="0"/>
                <w:sz w:val="20"/>
                <w:szCs w:val="21"/>
              </w:rPr>
            </w:pPr>
            <w:r>
              <w:rPr>
                <w:rFonts w:ascii="Times New Roman" w:eastAsia="仿宋_GB2312" w:hAnsi="Times New Roman"/>
                <w:b/>
                <w:kern w:val="0"/>
                <w:sz w:val="20"/>
                <w:szCs w:val="21"/>
              </w:rPr>
              <w:t>排放口</w:t>
            </w:r>
          </w:p>
        </w:tc>
        <w:tc>
          <w:tcPr>
            <w:tcW w:w="1281"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2</w:t>
            </w:r>
          </w:p>
        </w:tc>
        <w:tc>
          <w:tcPr>
            <w:tcW w:w="4232" w:type="dxa"/>
            <w:vAlign w:val="center"/>
          </w:tcPr>
          <w:p w:rsidR="00E037BF" w:rsidRDefault="00130C8E">
            <w:pPr>
              <w:widowControl/>
              <w:jc w:val="cente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平均每半年清疏</w:t>
            </w:r>
            <w:r>
              <w:rPr>
                <w:rFonts w:ascii="Times New Roman" w:eastAsia="仿宋_GB2312" w:hAnsi="Times New Roman"/>
                <w:kern w:val="0"/>
                <w:sz w:val="20"/>
                <w:szCs w:val="21"/>
              </w:rPr>
              <w:t>1</w:t>
            </w:r>
            <w:r>
              <w:rPr>
                <w:rFonts w:ascii="Times New Roman" w:eastAsia="仿宋_GB2312" w:hAnsi="Times New Roman"/>
                <w:kern w:val="0"/>
                <w:sz w:val="20"/>
                <w:szCs w:val="21"/>
              </w:rPr>
              <w:t>次</w:t>
            </w:r>
          </w:p>
        </w:tc>
      </w:tr>
      <w:tr w:rsidR="00E037BF">
        <w:trPr>
          <w:trHeight w:val="679"/>
        </w:trPr>
        <w:tc>
          <w:tcPr>
            <w:tcW w:w="10682" w:type="dxa"/>
            <w:gridSpan w:val="4"/>
            <w:vAlign w:val="center"/>
          </w:tcPr>
          <w:p w:rsidR="00E037BF" w:rsidRDefault="00130C8E">
            <w:pPr>
              <w:widowControl/>
              <w:jc w:val="left"/>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备注：</w:t>
            </w:r>
            <w:r>
              <w:rPr>
                <w:rFonts w:ascii="Times New Roman" w:eastAsia="仿宋_GB2312" w:hAnsi="Times New Roman"/>
                <w:kern w:val="0"/>
                <w:sz w:val="20"/>
                <w:szCs w:val="21"/>
              </w:rPr>
              <w:t>1.D</w:t>
            </w:r>
            <w:r>
              <w:rPr>
                <w:rFonts w:ascii="Times New Roman" w:eastAsia="仿宋_GB2312" w:hAnsi="Times New Roman"/>
                <w:kern w:val="0"/>
                <w:sz w:val="20"/>
                <w:szCs w:val="21"/>
              </w:rPr>
              <w:t>表示管道管径，单位为</w:t>
            </w:r>
            <w:r>
              <w:rPr>
                <w:rFonts w:ascii="Times New Roman" w:eastAsia="仿宋_GB2312" w:hAnsi="Times New Roman"/>
                <w:kern w:val="0"/>
                <w:sz w:val="20"/>
                <w:szCs w:val="21"/>
              </w:rPr>
              <w:t>mm;A</w:t>
            </w:r>
            <w:r>
              <w:rPr>
                <w:rFonts w:ascii="Times New Roman" w:eastAsia="仿宋_GB2312" w:hAnsi="Times New Roman"/>
                <w:kern w:val="0"/>
                <w:sz w:val="20"/>
                <w:szCs w:val="21"/>
              </w:rPr>
              <w:t>表示渠箱</w:t>
            </w:r>
            <w:r>
              <w:rPr>
                <w:rFonts w:ascii="Times New Roman" w:eastAsia="仿宋_GB2312" w:hAnsi="Times New Roman"/>
                <w:kern w:val="0"/>
                <w:sz w:val="20"/>
                <w:szCs w:val="21"/>
              </w:rPr>
              <w:t>(</w:t>
            </w:r>
            <w:r>
              <w:rPr>
                <w:rFonts w:ascii="Times New Roman" w:eastAsia="仿宋_GB2312" w:hAnsi="Times New Roman"/>
                <w:kern w:val="0"/>
                <w:sz w:val="20"/>
                <w:szCs w:val="21"/>
              </w:rPr>
              <w:t>暗渠、明渠</w:t>
            </w:r>
            <w:r>
              <w:rPr>
                <w:rFonts w:ascii="Times New Roman" w:eastAsia="仿宋_GB2312" w:hAnsi="Times New Roman"/>
                <w:kern w:val="0"/>
                <w:sz w:val="20"/>
                <w:szCs w:val="21"/>
              </w:rPr>
              <w:t>)</w:t>
            </w:r>
            <w:r>
              <w:rPr>
                <w:rFonts w:ascii="Times New Roman" w:eastAsia="仿宋_GB2312" w:hAnsi="Times New Roman"/>
                <w:kern w:val="0"/>
                <w:sz w:val="20"/>
                <w:szCs w:val="21"/>
              </w:rPr>
              <w:t>的截面积</w:t>
            </w:r>
            <w:r>
              <w:rPr>
                <w:rFonts w:ascii="Times New Roman" w:eastAsia="仿宋_GB2312" w:hAnsi="Times New Roman"/>
                <w:kern w:val="0"/>
                <w:sz w:val="20"/>
                <w:szCs w:val="21"/>
              </w:rPr>
              <w:t>A</w:t>
            </w:r>
            <w:r>
              <w:rPr>
                <w:rFonts w:ascii="Times New Roman" w:eastAsia="仿宋_GB2312" w:hAnsi="Times New Roman"/>
                <w:kern w:val="0"/>
                <w:sz w:val="20"/>
                <w:szCs w:val="21"/>
              </w:rPr>
              <w:t>，单位为</w:t>
            </w:r>
            <w:r>
              <w:rPr>
                <w:rFonts w:ascii="Times New Roman" w:eastAsia="仿宋_GB2312" w:hAnsi="Times New Roman"/>
                <w:kern w:val="0"/>
                <w:sz w:val="20"/>
                <w:szCs w:val="21"/>
              </w:rPr>
              <w:t>m</w:t>
            </w:r>
            <w:r>
              <w:rPr>
                <w:rFonts w:ascii="Times New Roman" w:eastAsia="仿宋_GB2312" w:hAnsi="Times New Roman"/>
                <w:kern w:val="0"/>
                <w:sz w:val="20"/>
                <w:szCs w:val="21"/>
                <w:vertAlign w:val="superscript"/>
              </w:rPr>
              <w:t>2</w:t>
            </w:r>
            <w:r>
              <w:rPr>
                <w:rFonts w:ascii="Times New Roman" w:eastAsia="仿宋_GB2312" w:hAnsi="Times New Roman"/>
                <w:kern w:val="0"/>
                <w:sz w:val="20"/>
                <w:szCs w:val="21"/>
              </w:rPr>
              <w:t>。</w:t>
            </w:r>
          </w:p>
          <w:p w:rsidR="00E037BF" w:rsidRDefault="00130C8E">
            <w:pPr>
              <w:widowControl/>
              <w:jc w:val="left"/>
              <w:textAlignment w:val="center"/>
              <w:rPr>
                <w:rFonts w:ascii="Times New Roman" w:eastAsia="仿宋_GB2312" w:hAnsi="Times New Roman"/>
                <w:kern w:val="0"/>
                <w:sz w:val="20"/>
                <w:szCs w:val="21"/>
              </w:rPr>
            </w:pPr>
            <w:r>
              <w:rPr>
                <w:rFonts w:ascii="Times New Roman" w:eastAsia="仿宋_GB2312" w:hAnsi="Times New Roman"/>
                <w:kern w:val="0"/>
                <w:sz w:val="20"/>
                <w:szCs w:val="21"/>
              </w:rPr>
              <w:t xml:space="preserve">      2.</w:t>
            </w:r>
            <w:r>
              <w:rPr>
                <w:rFonts w:ascii="Times New Roman" w:eastAsia="仿宋_GB2312" w:hAnsi="Times New Roman"/>
                <w:kern w:val="0"/>
                <w:sz w:val="20"/>
                <w:szCs w:val="21"/>
              </w:rPr>
              <w:t>过涌污水管的清疏频率可根据实际需要适当增加。</w:t>
            </w:r>
          </w:p>
          <w:p w:rsidR="00E037BF" w:rsidRDefault="00130C8E">
            <w:pPr>
              <w:widowControl/>
              <w:numPr>
                <w:ilvl w:val="255"/>
                <w:numId w:val="0"/>
              </w:numPr>
              <w:textAlignment w:val="center"/>
              <w:rPr>
                <w:rFonts w:ascii="Times New Roman" w:eastAsia="仿宋_GB2312" w:hAnsi="Times New Roman"/>
                <w:kern w:val="0"/>
                <w:sz w:val="20"/>
                <w:szCs w:val="21"/>
              </w:rPr>
            </w:pPr>
            <w:r>
              <w:rPr>
                <w:rFonts w:ascii="Times New Roman" w:eastAsia="仿宋_GB2312" w:hAnsi="Times New Roman"/>
                <w:kern w:val="0"/>
                <w:sz w:val="20"/>
                <w:szCs w:val="21"/>
              </w:rPr>
              <w:t xml:space="preserve">      3.</w:t>
            </w:r>
            <w:r>
              <w:rPr>
                <w:rFonts w:ascii="Times New Roman" w:eastAsia="仿宋_GB2312" w:hAnsi="Times New Roman"/>
                <w:kern w:val="0"/>
                <w:sz w:val="20"/>
                <w:szCs w:val="21"/>
              </w:rPr>
              <w:t>清疏频率应</w:t>
            </w:r>
            <w:r>
              <w:rPr>
                <w:rFonts w:ascii="Times New Roman" w:eastAsia="仿宋_GB2312" w:hAnsi="Times New Roman" w:hint="eastAsia"/>
                <w:kern w:val="0"/>
                <w:sz w:val="20"/>
                <w:szCs w:val="21"/>
              </w:rPr>
              <w:t>当</w:t>
            </w:r>
            <w:r>
              <w:rPr>
                <w:rFonts w:ascii="Times New Roman" w:eastAsia="仿宋_GB2312" w:hAnsi="Times New Roman"/>
                <w:kern w:val="0"/>
                <w:sz w:val="20"/>
                <w:szCs w:val="21"/>
              </w:rPr>
              <w:t>根据雨、污水管径，排水量等因素综合考量。</w:t>
            </w:r>
          </w:p>
        </w:tc>
      </w:tr>
    </w:tbl>
    <w:p w:rsidR="00E037BF" w:rsidRDefault="00E037BF">
      <w:pPr>
        <w:widowControl/>
        <w:shd w:val="clear" w:color="auto" w:fill="FFFFFF"/>
        <w:spacing w:after="225" w:line="560" w:lineRule="exact"/>
        <w:jc w:val="left"/>
        <w:rPr>
          <w:rFonts w:ascii="Times New Roman" w:eastAsia="黑体" w:hAnsi="Times New Roman"/>
          <w:kern w:val="0"/>
          <w:sz w:val="32"/>
          <w:szCs w:val="32"/>
          <w:shd w:val="clear" w:color="auto" w:fill="FFFFFF"/>
        </w:rPr>
      </w:pPr>
    </w:p>
    <w:p w:rsidR="00E037BF" w:rsidRDefault="00130C8E">
      <w:pPr>
        <w:widowControl/>
        <w:shd w:val="clear" w:color="auto" w:fill="FFFFFF"/>
        <w:spacing w:after="225" w:line="560" w:lineRule="exact"/>
        <w:jc w:val="left"/>
        <w:rPr>
          <w:rFonts w:ascii="Times New Roman" w:eastAsia="黑体" w:hAnsi="Times New Roman"/>
          <w:kern w:val="0"/>
          <w:sz w:val="28"/>
          <w:szCs w:val="28"/>
          <w:shd w:val="clear" w:color="auto" w:fill="FFFFFF"/>
        </w:rPr>
      </w:pPr>
      <w:r>
        <w:rPr>
          <w:rFonts w:ascii="Times New Roman" w:eastAsia="黑体" w:hAnsi="Times New Roman"/>
          <w:kern w:val="0"/>
          <w:sz w:val="32"/>
          <w:szCs w:val="32"/>
          <w:shd w:val="clear" w:color="auto" w:fill="FFFFFF"/>
        </w:rPr>
        <w:lastRenderedPageBreak/>
        <w:t>附件</w:t>
      </w:r>
      <w:r>
        <w:rPr>
          <w:rFonts w:ascii="Times New Roman" w:eastAsia="黑体" w:hAnsi="Times New Roman" w:hint="eastAsia"/>
          <w:kern w:val="0"/>
          <w:sz w:val="32"/>
          <w:szCs w:val="32"/>
          <w:shd w:val="clear" w:color="auto" w:fill="FFFFFF"/>
        </w:rPr>
        <w:t>2</w:t>
      </w:r>
    </w:p>
    <w:p w:rsidR="00E037BF" w:rsidRDefault="00130C8E">
      <w:pPr>
        <w:widowControl/>
        <w:spacing w:line="560" w:lineRule="exact"/>
        <w:jc w:val="center"/>
        <w:rPr>
          <w:rFonts w:ascii="Times New Roman" w:eastAsia="方正小标宋简体" w:hAnsi="Times New Roman"/>
          <w:kern w:val="0"/>
          <w:sz w:val="44"/>
          <w:szCs w:val="44"/>
          <w:shd w:val="clear" w:color="auto" w:fill="FFFFFF"/>
        </w:rPr>
      </w:pPr>
      <w:r>
        <w:rPr>
          <w:rFonts w:ascii="Times New Roman" w:eastAsia="方正小标宋简体" w:hAnsi="Times New Roman"/>
          <w:kern w:val="0"/>
          <w:sz w:val="44"/>
          <w:szCs w:val="44"/>
          <w:shd w:val="clear" w:color="auto" w:fill="FFFFFF"/>
        </w:rPr>
        <w:t>预处理设施分类管养要求</w:t>
      </w:r>
    </w:p>
    <w:tbl>
      <w:tblPr>
        <w:tblW w:w="10561" w:type="dxa"/>
        <w:jc w:val="center"/>
        <w:tblLayout w:type="fixed"/>
        <w:tblCellMar>
          <w:left w:w="0" w:type="dxa"/>
          <w:right w:w="0" w:type="dxa"/>
        </w:tblCellMar>
        <w:tblLook w:val="04A0"/>
      </w:tblPr>
      <w:tblGrid>
        <w:gridCol w:w="1426"/>
        <w:gridCol w:w="2551"/>
        <w:gridCol w:w="4678"/>
        <w:gridCol w:w="1906"/>
      </w:tblGrid>
      <w:tr w:rsidR="00E037BF">
        <w:trPr>
          <w:trHeight w:val="510"/>
          <w:jc w:val="center"/>
        </w:trPr>
        <w:tc>
          <w:tcPr>
            <w:tcW w:w="1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名称</w:t>
            </w:r>
          </w:p>
        </w:tc>
        <w:tc>
          <w:tcPr>
            <w:tcW w:w="2551"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预处理设施</w:t>
            </w:r>
          </w:p>
        </w:tc>
        <w:tc>
          <w:tcPr>
            <w:tcW w:w="467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养护要求</w:t>
            </w:r>
          </w:p>
        </w:tc>
        <w:tc>
          <w:tcPr>
            <w:tcW w:w="190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频率</w:t>
            </w:r>
          </w:p>
        </w:tc>
      </w:tr>
      <w:tr w:rsidR="00E037BF">
        <w:trPr>
          <w:trHeight w:val="510"/>
          <w:jc w:val="center"/>
        </w:trPr>
        <w:tc>
          <w:tcPr>
            <w:tcW w:w="1426"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工业类</w:t>
            </w:r>
          </w:p>
        </w:tc>
        <w:tc>
          <w:tcPr>
            <w:tcW w:w="2551" w:type="dxa"/>
            <w:vMerge w:val="restart"/>
            <w:tcBorders>
              <w:top w:val="nil"/>
              <w:left w:val="nil"/>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格栅（栅间距不大于</w:t>
            </w:r>
            <w:r>
              <w:rPr>
                <w:rFonts w:ascii="Times New Roman" w:eastAsia="仿宋_GB2312" w:hAnsi="Times New Roman"/>
                <w:bCs/>
                <w:kern w:val="0"/>
                <w:sz w:val="20"/>
                <w:szCs w:val="21"/>
              </w:rPr>
              <w:t>25mm</w:t>
            </w:r>
            <w:r>
              <w:rPr>
                <w:rFonts w:ascii="Times New Roman" w:eastAsia="仿宋_GB2312" w:hAnsi="Times New Roman"/>
                <w:bCs/>
                <w:kern w:val="0"/>
                <w:sz w:val="20"/>
                <w:szCs w:val="21"/>
              </w:rPr>
              <w:t>）</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预处理设施</w:t>
            </w:r>
          </w:p>
        </w:tc>
        <w:tc>
          <w:tcPr>
            <w:tcW w:w="46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清理格栅残渣</w:t>
            </w:r>
          </w:p>
        </w:tc>
        <w:tc>
          <w:tcPr>
            <w:tcW w:w="19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每周一次</w:t>
            </w:r>
          </w:p>
        </w:tc>
      </w:tr>
      <w:tr w:rsidR="00E037BF">
        <w:trPr>
          <w:trHeight w:val="510"/>
          <w:jc w:val="center"/>
        </w:trPr>
        <w:tc>
          <w:tcPr>
            <w:tcW w:w="1426"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left w:val="nil"/>
              <w:right w:val="single" w:sz="8" w:space="0" w:color="000000"/>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清疏预处理设施污泥，送专业消纳场所处置</w:t>
            </w:r>
          </w:p>
        </w:tc>
        <w:tc>
          <w:tcPr>
            <w:tcW w:w="19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及时清疏池底淤积</w:t>
            </w:r>
          </w:p>
        </w:tc>
      </w:tr>
      <w:tr w:rsidR="00E037BF">
        <w:trPr>
          <w:trHeight w:val="510"/>
          <w:jc w:val="center"/>
        </w:trPr>
        <w:tc>
          <w:tcPr>
            <w:tcW w:w="1426"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建立预处理设施养护台账，落实养护责任人</w:t>
            </w:r>
          </w:p>
        </w:tc>
        <w:tc>
          <w:tcPr>
            <w:tcW w:w="19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运维台账</w:t>
            </w:r>
          </w:p>
        </w:tc>
      </w:tr>
      <w:tr w:rsidR="00E037BF">
        <w:trPr>
          <w:trHeight w:val="510"/>
          <w:jc w:val="center"/>
        </w:trPr>
        <w:tc>
          <w:tcPr>
            <w:tcW w:w="1426" w:type="dxa"/>
            <w:vMerge w:val="restart"/>
            <w:tcBorders>
              <w:top w:val="nil"/>
              <w:left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建筑类</w:t>
            </w:r>
          </w:p>
        </w:tc>
        <w:tc>
          <w:tcPr>
            <w:tcW w:w="2551" w:type="dxa"/>
            <w:vMerge w:val="restart"/>
            <w:tcBorders>
              <w:top w:val="nil"/>
              <w:left w:val="nil"/>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三级沉淀池</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（工地内设置生活区的排水户需增设化粪池、隔油池）</w:t>
            </w:r>
          </w:p>
        </w:tc>
        <w:tc>
          <w:tcPr>
            <w:tcW w:w="46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清疏沉淀池底部淤积泥浆</w:t>
            </w:r>
          </w:p>
        </w:tc>
        <w:tc>
          <w:tcPr>
            <w:tcW w:w="19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及时清疏池底淤积</w:t>
            </w:r>
          </w:p>
        </w:tc>
      </w:tr>
      <w:tr w:rsidR="00E037BF">
        <w:trPr>
          <w:trHeight w:val="510"/>
          <w:jc w:val="center"/>
        </w:trPr>
        <w:tc>
          <w:tcPr>
            <w:tcW w:w="1426" w:type="dxa"/>
            <w:vMerge/>
            <w:tcBorders>
              <w:left w:val="single" w:sz="8" w:space="0" w:color="000000"/>
              <w:right w:val="single" w:sz="8" w:space="0" w:color="000000"/>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left w:val="nil"/>
              <w:right w:val="single" w:sz="8" w:space="0" w:color="000000"/>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建立泥浆外运台账，送专业消纳场所处置</w:t>
            </w:r>
          </w:p>
        </w:tc>
        <w:tc>
          <w:tcPr>
            <w:tcW w:w="1906"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泥浆外运台账</w:t>
            </w:r>
          </w:p>
        </w:tc>
      </w:tr>
      <w:tr w:rsidR="00E037BF">
        <w:trPr>
          <w:trHeight w:val="510"/>
          <w:jc w:val="center"/>
        </w:trPr>
        <w:tc>
          <w:tcPr>
            <w:tcW w:w="1426" w:type="dxa"/>
            <w:vMerge/>
            <w:tcBorders>
              <w:left w:val="single" w:sz="8" w:space="0" w:color="000000"/>
              <w:right w:val="single" w:sz="8" w:space="0" w:color="000000"/>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left w:val="nil"/>
              <w:right w:val="single" w:sz="8" w:space="0" w:color="000000"/>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清理化粪池，防止堵塞</w:t>
            </w:r>
          </w:p>
        </w:tc>
        <w:tc>
          <w:tcPr>
            <w:tcW w:w="1906"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每年不少于一次</w:t>
            </w:r>
          </w:p>
        </w:tc>
      </w:tr>
      <w:tr w:rsidR="00E037BF">
        <w:trPr>
          <w:trHeight w:val="510"/>
          <w:jc w:val="center"/>
        </w:trPr>
        <w:tc>
          <w:tcPr>
            <w:tcW w:w="1426" w:type="dxa"/>
            <w:vMerge/>
            <w:tcBorders>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清疏隔油池，防止堵塞</w:t>
            </w:r>
          </w:p>
        </w:tc>
        <w:tc>
          <w:tcPr>
            <w:tcW w:w="1906"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运维台账</w:t>
            </w:r>
          </w:p>
        </w:tc>
      </w:tr>
      <w:tr w:rsidR="00E037BF">
        <w:trPr>
          <w:trHeight w:val="510"/>
          <w:jc w:val="center"/>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餐饮类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隔渣池或者格栅</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（栅间距不大于</w:t>
            </w:r>
            <w:r>
              <w:rPr>
                <w:rFonts w:ascii="Times New Roman" w:eastAsia="仿宋_GB2312" w:hAnsi="Times New Roman"/>
                <w:bCs/>
                <w:kern w:val="0"/>
                <w:sz w:val="20"/>
                <w:szCs w:val="21"/>
              </w:rPr>
              <w:t>25mm</w:t>
            </w:r>
            <w:r>
              <w:rPr>
                <w:rFonts w:ascii="Times New Roman" w:eastAsia="仿宋_GB2312" w:hAnsi="Times New Roman"/>
                <w:bCs/>
                <w:kern w:val="0"/>
                <w:sz w:val="20"/>
                <w:szCs w:val="21"/>
              </w:rPr>
              <w:t>）</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隔油池或者高效油水分离器</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清掏隔渣设施残渣</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每日清掏</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清除隔油设施废油</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每日清除</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餐厨垃圾、废油分类收集，交专业单位处置</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外运台账</w:t>
            </w:r>
          </w:p>
        </w:tc>
      </w:tr>
      <w:tr w:rsidR="00E037BF">
        <w:trPr>
          <w:trHeight w:val="510"/>
          <w:jc w:val="center"/>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医疗类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预处理设施</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消毒设施</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清疏预处理设施污泥</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及时清疏池底淤积</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维护消毒设施</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每月一次</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建立预处理设施运维台账，落实养护责任人</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运维台账</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E037BF" w:rsidRDefault="00E037BF">
            <w:pP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医疗类排水户固体废弃物不得进入公共排水</w:t>
            </w:r>
            <w:r>
              <w:rPr>
                <w:rFonts w:ascii="Times New Roman" w:eastAsia="仿宋_GB2312" w:hAnsi="Times New Roman" w:hint="eastAsia"/>
                <w:bCs/>
                <w:kern w:val="0"/>
                <w:sz w:val="20"/>
                <w:szCs w:val="21"/>
              </w:rPr>
              <w:t>设施</w:t>
            </w:r>
            <w:r>
              <w:rPr>
                <w:rFonts w:ascii="Times New Roman" w:eastAsia="仿宋_GB2312" w:hAnsi="Times New Roman"/>
                <w:bCs/>
                <w:kern w:val="0"/>
                <w:sz w:val="20"/>
                <w:szCs w:val="21"/>
              </w:rPr>
              <w:t>，按危险废弃物要求交专业部门处理处置</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废弃物外运台账</w:t>
            </w:r>
          </w:p>
        </w:tc>
      </w:tr>
      <w:tr w:rsidR="00E037BF">
        <w:trPr>
          <w:trHeight w:val="510"/>
          <w:jc w:val="center"/>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汽修机洗类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ind w:firstLineChars="100" w:firstLine="200"/>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格栅</w:t>
            </w:r>
            <w:bookmarkStart w:id="0" w:name="_GoBack"/>
            <w:bookmarkEnd w:id="0"/>
            <w:r>
              <w:rPr>
                <w:rFonts w:ascii="Times New Roman" w:eastAsia="仿宋_GB2312" w:hAnsi="Times New Roman"/>
                <w:bCs/>
                <w:kern w:val="0"/>
                <w:sz w:val="20"/>
                <w:szCs w:val="21"/>
              </w:rPr>
              <w:t>（栅间距不大于</w:t>
            </w:r>
            <w:r>
              <w:rPr>
                <w:rFonts w:ascii="Times New Roman" w:eastAsia="仿宋_GB2312" w:hAnsi="Times New Roman"/>
                <w:bCs/>
                <w:kern w:val="0"/>
                <w:sz w:val="20"/>
                <w:szCs w:val="21"/>
              </w:rPr>
              <w:t>25mm</w:t>
            </w:r>
            <w:r>
              <w:rPr>
                <w:rFonts w:ascii="Times New Roman" w:eastAsia="仿宋_GB2312" w:hAnsi="Times New Roman"/>
                <w:bCs/>
                <w:kern w:val="0"/>
                <w:sz w:val="20"/>
                <w:szCs w:val="21"/>
              </w:rPr>
              <w:t>）或者截流沟</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隔油池或者高效油水分离器</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沉砂池</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清理格栅残渣</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每日清理</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清疏截流沟</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每周清疏</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清除隔油设施废油，送专业消纳场所处置</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每日清除</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清疏沉砂池底部淤积泥沙</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及时清疏池底淤积</w:t>
            </w:r>
          </w:p>
        </w:tc>
      </w:tr>
      <w:tr w:rsidR="00E037BF">
        <w:trPr>
          <w:trHeight w:val="510"/>
          <w:jc w:val="center"/>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农贸市场类</w:t>
            </w:r>
          </w:p>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畜禽养殖类</w:t>
            </w:r>
          </w:p>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垃圾收集</w:t>
            </w:r>
          </w:p>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处理类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格栅（栅间距不大于</w:t>
            </w:r>
            <w:r>
              <w:rPr>
                <w:rFonts w:ascii="Times New Roman" w:eastAsia="仿宋_GB2312" w:hAnsi="Times New Roman"/>
                <w:bCs/>
                <w:kern w:val="0"/>
                <w:sz w:val="20"/>
                <w:szCs w:val="21"/>
              </w:rPr>
              <w:t>28mm</w:t>
            </w:r>
            <w:r>
              <w:rPr>
                <w:rFonts w:ascii="Times New Roman" w:eastAsia="仿宋_GB2312" w:hAnsi="Times New Roman"/>
                <w:bCs/>
                <w:kern w:val="0"/>
                <w:sz w:val="20"/>
                <w:szCs w:val="21"/>
              </w:rPr>
              <w:t>）</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截流沟</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预处理设施</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（仅畜禽养殖类）</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三级沉淀池</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（农贸市场类）</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清理格栅残渣</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每日清理</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清疏截流沟，加强卫生管理，防止管道堵塞</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每周清疏</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清疏预处理设施污泥，送专业消纳场所处置</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及时清疏池底淤积</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建立预处理设施运维台账，落实养护责任人</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运维台账</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清疏沉淀池底部淤泥，送专业消纳场所处置</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及时清疏池底淤泥</w:t>
            </w:r>
          </w:p>
        </w:tc>
      </w:tr>
      <w:tr w:rsidR="00E037BF">
        <w:trPr>
          <w:trHeight w:val="510"/>
          <w:jc w:val="center"/>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lastRenderedPageBreak/>
              <w:t>洗涤类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格栅（栅间距不大于</w:t>
            </w:r>
            <w:r>
              <w:rPr>
                <w:rFonts w:ascii="Times New Roman" w:eastAsia="仿宋_GB2312" w:hAnsi="Times New Roman"/>
                <w:bCs/>
                <w:kern w:val="0"/>
                <w:sz w:val="20"/>
                <w:szCs w:val="21"/>
              </w:rPr>
              <w:t>25mm</w:t>
            </w:r>
            <w:r>
              <w:rPr>
                <w:rFonts w:ascii="Times New Roman" w:eastAsia="仿宋_GB2312" w:hAnsi="Times New Roman"/>
                <w:bCs/>
                <w:kern w:val="0"/>
                <w:sz w:val="20"/>
                <w:szCs w:val="21"/>
              </w:rPr>
              <w:t>）</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毛发分离设施</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预处理设施</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清理细格栅残渣</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每日清理</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清理毛发分离设施，防止淤积</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每日清理</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jc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清疏预处理设施污泥，送专业消纳场所处置</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及时清疏池底淤积</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bCs/>
                <w:kern w:val="0"/>
                <w:sz w:val="20"/>
                <w:szCs w:val="21"/>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建立预处理设施运维台账，落实养护责任人</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hint="eastAsia"/>
                <w:bCs/>
                <w:kern w:val="0"/>
                <w:sz w:val="20"/>
                <w:szCs w:val="21"/>
              </w:rPr>
              <w:t>保留六个月以上</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hint="eastAsia"/>
                <w:bCs/>
                <w:kern w:val="0"/>
                <w:sz w:val="20"/>
                <w:szCs w:val="21"/>
              </w:rPr>
              <w:t>运维台账</w:t>
            </w:r>
          </w:p>
        </w:tc>
      </w:tr>
      <w:tr w:rsidR="00E037BF">
        <w:trPr>
          <w:trHeight w:val="510"/>
          <w:jc w:val="center"/>
        </w:trPr>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综合商业类</w:t>
            </w:r>
          </w:p>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机关事业单位（含学校）类</w:t>
            </w:r>
          </w:p>
          <w:p w:rsidR="00E037BF" w:rsidRDefault="00130C8E">
            <w:pPr>
              <w:widowControl/>
              <w:jc w:val="center"/>
              <w:textAlignment w:val="center"/>
              <w:rPr>
                <w:rFonts w:ascii="Times New Roman" w:eastAsia="仿宋_GB2312" w:hAnsi="Times New Roman"/>
                <w:b/>
                <w:bCs/>
                <w:kern w:val="0"/>
                <w:sz w:val="20"/>
                <w:szCs w:val="21"/>
              </w:rPr>
            </w:pPr>
            <w:r>
              <w:rPr>
                <w:rFonts w:ascii="Times New Roman" w:eastAsia="仿宋_GB2312" w:hAnsi="Times New Roman"/>
                <w:b/>
                <w:bCs/>
                <w:kern w:val="0"/>
                <w:sz w:val="20"/>
                <w:szCs w:val="21"/>
              </w:rPr>
              <w:t>居民类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化粪池</w:t>
            </w:r>
          </w:p>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隔油池（机关事业单位类）</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清理化粪池，防止堵塞</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仿宋_GB2312" w:eastAsia="仿宋_GB2312" w:hAnsi="Times New Roman"/>
                <w:bCs/>
                <w:kern w:val="0"/>
                <w:sz w:val="20"/>
                <w:szCs w:val="21"/>
              </w:rPr>
            </w:pPr>
            <w:r>
              <w:rPr>
                <w:rFonts w:ascii="仿宋_GB2312" w:eastAsia="仿宋_GB2312" w:hAnsi="Times New Roman" w:hint="eastAsia"/>
                <w:bCs/>
                <w:kern w:val="0"/>
                <w:sz w:val="20"/>
                <w:szCs w:val="21"/>
              </w:rPr>
              <w:t>每</w:t>
            </w:r>
            <w:r>
              <w:rPr>
                <w:rFonts w:ascii="仿宋_GB2312" w:eastAsia="仿宋_GB2312" w:hint="eastAsia"/>
                <w:bCs/>
                <w:kern w:val="0"/>
                <w:sz w:val="20"/>
              </w:rPr>
              <w:t>年不少于一次</w:t>
            </w:r>
          </w:p>
        </w:tc>
      </w:tr>
      <w:tr w:rsidR="00E037BF">
        <w:trPr>
          <w:trHeight w:val="510"/>
          <w:jc w:val="center"/>
        </w:trPr>
        <w:tc>
          <w:tcPr>
            <w:tcW w:w="1426"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
                <w:sz w:val="18"/>
                <w:szCs w:val="1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E037BF">
            <w:pPr>
              <w:widowControl/>
              <w:jc w:val="center"/>
              <w:textAlignment w:val="center"/>
              <w:rPr>
                <w:rFonts w:ascii="Times New Roman" w:eastAsia="仿宋_GB2312" w:hAnsi="Times New Roman"/>
                <w:bCs/>
                <w:kern w:val="0"/>
                <w:sz w:val="20"/>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Times New Roman" w:eastAsia="仿宋_GB2312" w:hAnsi="Times New Roman"/>
                <w:bCs/>
                <w:kern w:val="0"/>
                <w:sz w:val="20"/>
                <w:szCs w:val="21"/>
              </w:rPr>
            </w:pPr>
            <w:r>
              <w:rPr>
                <w:rFonts w:ascii="Times New Roman" w:eastAsia="仿宋_GB2312" w:hAnsi="Times New Roman"/>
                <w:bCs/>
                <w:kern w:val="0"/>
                <w:sz w:val="20"/>
                <w:szCs w:val="21"/>
              </w:rPr>
              <w:t>清疏隔油池，防止堵塞</w:t>
            </w:r>
          </w:p>
        </w:tc>
        <w:tc>
          <w:tcPr>
            <w:tcW w:w="1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center"/>
              <w:textAlignment w:val="center"/>
              <w:rPr>
                <w:rFonts w:ascii="仿宋_GB2312" w:eastAsia="仿宋_GB2312" w:hAnsi="Times New Roman"/>
                <w:bCs/>
                <w:kern w:val="0"/>
                <w:sz w:val="20"/>
                <w:szCs w:val="21"/>
              </w:rPr>
            </w:pPr>
            <w:r>
              <w:rPr>
                <w:rFonts w:ascii="仿宋_GB2312" w:eastAsia="仿宋_GB2312" w:hAnsi="Times New Roman" w:hint="eastAsia"/>
                <w:bCs/>
                <w:kern w:val="0"/>
                <w:sz w:val="20"/>
                <w:szCs w:val="21"/>
              </w:rPr>
              <w:t>保留六个月以上</w:t>
            </w:r>
          </w:p>
          <w:p w:rsidR="00E037BF" w:rsidRDefault="00130C8E">
            <w:pPr>
              <w:widowControl/>
              <w:jc w:val="center"/>
              <w:textAlignment w:val="center"/>
              <w:rPr>
                <w:rFonts w:ascii="仿宋_GB2312" w:eastAsia="仿宋_GB2312" w:hAnsi="Times New Roman"/>
                <w:bCs/>
                <w:kern w:val="0"/>
                <w:sz w:val="20"/>
                <w:szCs w:val="21"/>
              </w:rPr>
            </w:pPr>
            <w:r>
              <w:rPr>
                <w:rFonts w:ascii="仿宋_GB2312" w:eastAsia="仿宋_GB2312" w:hAnsi="Times New Roman" w:hint="eastAsia"/>
                <w:bCs/>
                <w:kern w:val="0"/>
                <w:sz w:val="20"/>
                <w:szCs w:val="21"/>
              </w:rPr>
              <w:t>运维台账</w:t>
            </w:r>
          </w:p>
        </w:tc>
      </w:tr>
      <w:tr w:rsidR="00E037BF">
        <w:trPr>
          <w:trHeight w:val="510"/>
          <w:jc w:val="center"/>
        </w:trPr>
        <w:tc>
          <w:tcPr>
            <w:tcW w:w="1056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037BF" w:rsidRDefault="00130C8E">
            <w:pPr>
              <w:widowControl/>
              <w:jc w:val="left"/>
              <w:textAlignment w:val="center"/>
              <w:rPr>
                <w:rFonts w:ascii="Times New Roman" w:eastAsia="仿宋_GB2312" w:hAnsi="Times New Roman"/>
                <w:kern w:val="0"/>
                <w:sz w:val="20"/>
                <w:szCs w:val="21"/>
              </w:rPr>
            </w:pPr>
            <w:r>
              <w:rPr>
                <w:rFonts w:ascii="Times New Roman" w:eastAsia="仿宋_GB2312" w:hAnsi="Times New Roman"/>
                <w:kern w:val="0"/>
                <w:sz w:val="20"/>
                <w:szCs w:val="21"/>
              </w:rPr>
              <w:t>备注：</w:t>
            </w:r>
            <w:r>
              <w:rPr>
                <w:rFonts w:ascii="Times New Roman" w:eastAsia="仿宋_GB2312" w:hAnsi="Times New Roman"/>
                <w:kern w:val="0"/>
                <w:sz w:val="20"/>
                <w:szCs w:val="21"/>
              </w:rPr>
              <w:t>1.</w:t>
            </w:r>
            <w:r>
              <w:rPr>
                <w:rFonts w:ascii="Times New Roman" w:eastAsia="仿宋_GB2312" w:hAnsi="Times New Roman"/>
                <w:kern w:val="0"/>
                <w:sz w:val="20"/>
                <w:szCs w:val="21"/>
              </w:rPr>
              <w:t>各类排水户的行业主管部门对污水预处理设施建设和维护另有规定的，从其规定。</w:t>
            </w:r>
          </w:p>
          <w:p w:rsidR="00E037BF" w:rsidRDefault="00130C8E">
            <w:pPr>
              <w:ind w:firstLine="630"/>
              <w:jc w:val="left"/>
              <w:rPr>
                <w:rFonts w:ascii="Times New Roman" w:eastAsia="仿宋_GB2312" w:hAnsi="Times New Roman"/>
                <w:kern w:val="0"/>
                <w:sz w:val="20"/>
                <w:szCs w:val="21"/>
              </w:rPr>
            </w:pPr>
            <w:r>
              <w:rPr>
                <w:rFonts w:ascii="Times New Roman" w:eastAsia="仿宋_GB2312" w:hAnsi="Times New Roman"/>
                <w:kern w:val="0"/>
                <w:sz w:val="20"/>
                <w:szCs w:val="21"/>
              </w:rPr>
              <w:t>2.</w:t>
            </w:r>
            <w:r>
              <w:rPr>
                <w:rFonts w:ascii="Times New Roman" w:eastAsia="仿宋_GB2312" w:hAnsi="Times New Roman"/>
                <w:kern w:val="0"/>
                <w:sz w:val="20"/>
                <w:szCs w:val="21"/>
              </w:rPr>
              <w:t>各类排水户内设食堂、医务室、垃圾收集点、市场等应当按专业管理要求设置污水预处理设施。</w:t>
            </w:r>
          </w:p>
          <w:p w:rsidR="00E037BF" w:rsidRDefault="00130C8E">
            <w:pPr>
              <w:widowControl/>
              <w:ind w:firstLineChars="300" w:firstLine="600"/>
              <w:jc w:val="left"/>
              <w:textAlignment w:val="center"/>
              <w:rPr>
                <w:rFonts w:ascii="仿宋_GB2312" w:eastAsia="仿宋_GB2312" w:hAnsi="Times New Roman"/>
                <w:bCs/>
                <w:kern w:val="0"/>
                <w:sz w:val="20"/>
                <w:szCs w:val="21"/>
              </w:rPr>
            </w:pPr>
            <w:r>
              <w:rPr>
                <w:rFonts w:ascii="Times New Roman" w:eastAsia="仿宋_GB2312" w:hAnsi="Times New Roman"/>
                <w:kern w:val="0"/>
                <w:sz w:val="20"/>
                <w:szCs w:val="21"/>
              </w:rPr>
              <w:t>3.</w:t>
            </w:r>
            <w:r>
              <w:rPr>
                <w:rFonts w:ascii="Times New Roman" w:eastAsia="仿宋_GB2312" w:hAnsi="Times New Roman"/>
                <w:kern w:val="0"/>
                <w:sz w:val="20"/>
                <w:szCs w:val="21"/>
              </w:rPr>
              <w:t>各类排水户产生的固废、危废，应当按相关管理规定处置，严禁排入公共排水设施</w:t>
            </w:r>
            <w:r>
              <w:rPr>
                <w:rFonts w:ascii="Times New Roman" w:eastAsia="仿宋_GB2312" w:hAnsi="Times New Roman" w:hint="eastAsia"/>
                <w:kern w:val="0"/>
                <w:sz w:val="20"/>
                <w:szCs w:val="21"/>
              </w:rPr>
              <w:t>。</w:t>
            </w:r>
          </w:p>
        </w:tc>
      </w:tr>
    </w:tbl>
    <w:p w:rsidR="00E037BF" w:rsidRDefault="00130C8E">
      <w:pPr>
        <w:widowControl/>
        <w:tabs>
          <w:tab w:val="left" w:pos="9225"/>
        </w:tabs>
        <w:jc w:val="left"/>
        <w:textAlignment w:val="center"/>
        <w:rPr>
          <w:rFonts w:ascii="Times New Roman" w:eastAsia="仿宋_GB2312" w:hAnsi="Times New Roman"/>
          <w:kern w:val="0"/>
          <w:szCs w:val="21"/>
        </w:rPr>
      </w:pPr>
      <w:r>
        <w:rPr>
          <w:rFonts w:ascii="Times New Roman" w:eastAsia="仿宋_GB2312" w:hAnsi="Times New Roman"/>
          <w:kern w:val="0"/>
          <w:szCs w:val="21"/>
        </w:rPr>
        <w:tab/>
      </w:r>
    </w:p>
    <w:p w:rsidR="00E037BF" w:rsidRDefault="00E037BF">
      <w:pPr>
        <w:rPr>
          <w:rFonts w:ascii="Times New Roman" w:eastAsia="仿宋_GB2312" w:hAnsi="Times New Roman"/>
          <w:kern w:val="0"/>
          <w:sz w:val="20"/>
          <w:szCs w:val="21"/>
        </w:rPr>
        <w:sectPr w:rsidR="00E037BF">
          <w:pgSz w:w="11906" w:h="16838"/>
          <w:pgMar w:top="850" w:right="680" w:bottom="567" w:left="680" w:header="851" w:footer="992" w:gutter="0"/>
          <w:cols w:space="0"/>
          <w:docGrid w:type="lines" w:linePitch="312"/>
        </w:sectPr>
      </w:pPr>
    </w:p>
    <w:p w:rsidR="00E037BF" w:rsidRDefault="00E037BF"/>
    <w:sectPr w:rsidR="00E037BF" w:rsidSect="00E03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8E" w:rsidRDefault="00130C8E" w:rsidP="00D01A8A">
      <w:r>
        <w:separator/>
      </w:r>
    </w:p>
  </w:endnote>
  <w:endnote w:type="continuationSeparator" w:id="1">
    <w:p w:rsidR="00130C8E" w:rsidRDefault="00130C8E" w:rsidP="00D01A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8E" w:rsidRDefault="00130C8E" w:rsidP="00D01A8A">
      <w:r>
        <w:separator/>
      </w:r>
    </w:p>
  </w:footnote>
  <w:footnote w:type="continuationSeparator" w:id="1">
    <w:p w:rsidR="00130C8E" w:rsidRDefault="00130C8E" w:rsidP="00D01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59BD"/>
    <w:rsid w:val="00000775"/>
    <w:rsid w:val="00016330"/>
    <w:rsid w:val="00021A50"/>
    <w:rsid w:val="000259BD"/>
    <w:rsid w:val="000845A3"/>
    <w:rsid w:val="000A0B61"/>
    <w:rsid w:val="000B6F4C"/>
    <w:rsid w:val="001063DA"/>
    <w:rsid w:val="00130C8E"/>
    <w:rsid w:val="001B06D1"/>
    <w:rsid w:val="001B3060"/>
    <w:rsid w:val="001D6AB7"/>
    <w:rsid w:val="00212B71"/>
    <w:rsid w:val="00226850"/>
    <w:rsid w:val="002361E6"/>
    <w:rsid w:val="003B2C10"/>
    <w:rsid w:val="0042129F"/>
    <w:rsid w:val="00427B5F"/>
    <w:rsid w:val="004A1B51"/>
    <w:rsid w:val="00512DEF"/>
    <w:rsid w:val="00540696"/>
    <w:rsid w:val="00543897"/>
    <w:rsid w:val="0056242D"/>
    <w:rsid w:val="00564B34"/>
    <w:rsid w:val="00600026"/>
    <w:rsid w:val="006A74AE"/>
    <w:rsid w:val="008B142F"/>
    <w:rsid w:val="009244DC"/>
    <w:rsid w:val="009352E0"/>
    <w:rsid w:val="009D03E5"/>
    <w:rsid w:val="009D73EA"/>
    <w:rsid w:val="009E5FEA"/>
    <w:rsid w:val="00A42735"/>
    <w:rsid w:val="00B52009"/>
    <w:rsid w:val="00BA2CCB"/>
    <w:rsid w:val="00BB3291"/>
    <w:rsid w:val="00BD11BB"/>
    <w:rsid w:val="00C11349"/>
    <w:rsid w:val="00C15DC3"/>
    <w:rsid w:val="00C9045C"/>
    <w:rsid w:val="00CA3B33"/>
    <w:rsid w:val="00D01A8A"/>
    <w:rsid w:val="00D41301"/>
    <w:rsid w:val="00D4422E"/>
    <w:rsid w:val="00DD1096"/>
    <w:rsid w:val="00E037BF"/>
    <w:rsid w:val="00E65528"/>
    <w:rsid w:val="00EE258D"/>
    <w:rsid w:val="00F21F7A"/>
    <w:rsid w:val="00F40631"/>
    <w:rsid w:val="00F81AC8"/>
    <w:rsid w:val="00FA1E96"/>
    <w:rsid w:val="00FA3B4B"/>
    <w:rsid w:val="09A05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B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sid w:val="00E037BF"/>
    <w:rPr>
      <w:rFonts w:ascii="仿宋_GB2312" w:eastAsia="仿宋_GB2312" w:cs="仿宋_GB2312" w:hint="eastAsia"/>
      <w:color w:val="000000"/>
      <w:sz w:val="21"/>
      <w:szCs w:val="21"/>
      <w:u w:val="none"/>
    </w:rPr>
  </w:style>
  <w:style w:type="character" w:customStyle="1" w:styleId="font21">
    <w:name w:val="font21"/>
    <w:basedOn w:val="a0"/>
    <w:qFormat/>
    <w:rsid w:val="00E037BF"/>
    <w:rPr>
      <w:rFonts w:ascii="仿宋_GB2312" w:eastAsia="仿宋_GB2312" w:cs="仿宋_GB2312" w:hint="eastAsia"/>
      <w:color w:val="000000"/>
      <w:sz w:val="21"/>
      <w:szCs w:val="21"/>
      <w:u w:val="none"/>
    </w:rPr>
  </w:style>
  <w:style w:type="paragraph" w:styleId="a3">
    <w:name w:val="header"/>
    <w:basedOn w:val="a"/>
    <w:link w:val="Char"/>
    <w:uiPriority w:val="99"/>
    <w:semiHidden/>
    <w:unhideWhenUsed/>
    <w:rsid w:val="00D01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1A8A"/>
    <w:rPr>
      <w:rFonts w:ascii="Calibri" w:eastAsia="宋体" w:hAnsi="Calibri" w:cs="Times New Roman"/>
      <w:kern w:val="2"/>
      <w:sz w:val="18"/>
      <w:szCs w:val="18"/>
    </w:rPr>
  </w:style>
  <w:style w:type="paragraph" w:styleId="a4">
    <w:name w:val="footer"/>
    <w:basedOn w:val="a"/>
    <w:link w:val="Char0"/>
    <w:uiPriority w:val="99"/>
    <w:semiHidden/>
    <w:unhideWhenUsed/>
    <w:rsid w:val="00D01A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1A8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吴珊</dc:creator>
  <cp:lastModifiedBy>&lt;%=userName%&gt;</cp:lastModifiedBy>
  <cp:revision>2</cp:revision>
  <dcterms:created xsi:type="dcterms:W3CDTF">2020-09-28T09:35:00Z</dcterms:created>
  <dcterms:modified xsi:type="dcterms:W3CDTF">2020-09-28T09:35:00Z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